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2B8E5" w14:textId="4C51AC3D" w:rsidR="004D22DF" w:rsidRPr="00C71D22" w:rsidRDefault="00C71D22">
      <w:pPr>
        <w:rPr>
          <w:rFonts w:cstheme="minorHAnsi"/>
          <w:b/>
          <w:sz w:val="28"/>
        </w:rPr>
      </w:pPr>
      <w:r w:rsidRPr="00C71D22">
        <w:rPr>
          <w:rFonts w:cstheme="minorHAnsi"/>
          <w:b/>
          <w:sz w:val="28"/>
        </w:rPr>
        <w:t>Syllabus HPW 420 Fall 2018</w:t>
      </w:r>
    </w:p>
    <w:p w14:paraId="74498D07" w14:textId="6807339F" w:rsidR="00C71D22" w:rsidRPr="00C71D22" w:rsidRDefault="00C71D22">
      <w:pPr>
        <w:rPr>
          <w:rFonts w:cstheme="minorHAnsi"/>
          <w:b/>
          <w:u w:val="single"/>
        </w:rPr>
      </w:pPr>
      <w:r w:rsidRPr="00C71D22">
        <w:rPr>
          <w:rFonts w:cstheme="minorHAnsi"/>
          <w:b/>
          <w:u w:val="single"/>
        </w:rPr>
        <w:t>Course Overview</w:t>
      </w:r>
    </w:p>
    <w:p w14:paraId="7754574A" w14:textId="751E623F" w:rsidR="00C71D22" w:rsidRPr="00C71D22" w:rsidRDefault="00C71D22">
      <w:pPr>
        <w:rPr>
          <w:rFonts w:cstheme="minorHAnsi"/>
          <w:color w:val="000000"/>
          <w:sz w:val="24"/>
          <w:szCs w:val="27"/>
        </w:rPr>
      </w:pPr>
      <w:r w:rsidRPr="00C71D22">
        <w:rPr>
          <w:rFonts w:cstheme="minorHAnsi"/>
          <w:color w:val="000000"/>
          <w:sz w:val="24"/>
          <w:szCs w:val="27"/>
        </w:rPr>
        <w:t>This course focuses on applying research, knowledge, and skills to manage the wellness process within a workplace, fitness program, or community.  Students will examine the concepts of health productivity management; health promotion programs for worksite settings and consider principles of assessment, best practice evaluation, management strategies, organizational culture, specific disease management orientations and issues that affect participation in health promotion and health protection programs.</w:t>
      </w:r>
      <w:r w:rsidRPr="00C71D22">
        <w:rPr>
          <w:rFonts w:cstheme="minorHAnsi"/>
          <w:color w:val="000000"/>
          <w:sz w:val="24"/>
          <w:szCs w:val="27"/>
        </w:rPr>
        <w:t xml:space="preserve"> </w:t>
      </w:r>
      <w:r w:rsidRPr="00C71D22">
        <w:rPr>
          <w:rFonts w:cstheme="minorHAnsi"/>
          <w:color w:val="000000"/>
          <w:sz w:val="24"/>
          <w:szCs w:val="27"/>
        </w:rPr>
        <w:t>Student</w:t>
      </w:r>
      <w:r w:rsidRPr="00C71D22">
        <w:rPr>
          <w:rFonts w:cstheme="minorHAnsi"/>
          <w:color w:val="000000"/>
          <w:sz w:val="24"/>
          <w:szCs w:val="27"/>
        </w:rPr>
        <w:t>s</w:t>
      </w:r>
      <w:r w:rsidRPr="00C71D22">
        <w:rPr>
          <w:rFonts w:cstheme="minorHAnsi"/>
          <w:color w:val="000000"/>
          <w:sz w:val="24"/>
          <w:szCs w:val="27"/>
        </w:rPr>
        <w:t xml:space="preserve"> will also learn to apply these principles to their desired work location.  The course will also introduce concepts on influencing personal and population choices related to behaviors and apply these to health promoting behavior change. </w:t>
      </w:r>
    </w:p>
    <w:p w14:paraId="5E970FFA" w14:textId="585DA83E" w:rsidR="00C71D22" w:rsidRPr="00C71D22" w:rsidRDefault="00C71D22">
      <w:pPr>
        <w:rPr>
          <w:rFonts w:cstheme="minorHAnsi"/>
          <w:b/>
          <w:sz w:val="24"/>
          <w:u w:val="single"/>
        </w:rPr>
      </w:pPr>
      <w:r w:rsidRPr="00C71D22">
        <w:rPr>
          <w:rFonts w:cstheme="minorHAnsi"/>
          <w:b/>
          <w:sz w:val="24"/>
          <w:u w:val="single"/>
        </w:rPr>
        <w:t>Course Goals and Learning Outcomes</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55"/>
        <w:gridCol w:w="3889"/>
      </w:tblGrid>
      <w:tr w:rsidR="00C71D22" w:rsidRPr="00C71D22" w14:paraId="67727D36" w14:textId="77777777" w:rsidTr="00C71D22">
        <w:trPr>
          <w:tblCellSpacing w:w="15" w:type="dxa"/>
        </w:trPr>
        <w:tc>
          <w:tcPr>
            <w:tcW w:w="0" w:type="auto"/>
            <w:tcBorders>
              <w:top w:val="single" w:sz="6" w:space="0" w:color="353535"/>
              <w:left w:val="single" w:sz="6" w:space="0" w:color="353535"/>
              <w:bottom w:val="single" w:sz="6" w:space="0" w:color="353535"/>
              <w:right w:val="single" w:sz="6" w:space="0" w:color="353535"/>
            </w:tcBorders>
            <w:vAlign w:val="center"/>
            <w:hideMark/>
          </w:tcPr>
          <w:p w14:paraId="7D1C4A20"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Course Goal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4A609"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Learning Outcomes</w:t>
            </w:r>
          </w:p>
        </w:tc>
      </w:tr>
      <w:tr w:rsidR="00C71D22" w:rsidRPr="00C71D22" w14:paraId="323D5BF3" w14:textId="77777777" w:rsidTr="00C71D22">
        <w:trPr>
          <w:tblCellSpacing w:w="15" w:type="dxa"/>
        </w:trPr>
        <w:tc>
          <w:tcPr>
            <w:tcW w:w="0" w:type="auto"/>
            <w:tcBorders>
              <w:top w:val="single" w:sz="6" w:space="0" w:color="353535"/>
              <w:left w:val="single" w:sz="6" w:space="0" w:color="353535"/>
              <w:bottom w:val="single" w:sz="6" w:space="0" w:color="353535"/>
              <w:right w:val="single" w:sz="6" w:space="0" w:color="353535"/>
            </w:tcBorders>
            <w:vAlign w:val="center"/>
            <w:hideMark/>
          </w:tcPr>
          <w:p w14:paraId="2E3A6792" w14:textId="3253C2E1" w:rsidR="00C71D22" w:rsidRPr="00C71D22" w:rsidRDefault="00C71D22" w:rsidP="00C71D22">
            <w:pPr>
              <w:numPr>
                <w:ilvl w:val="0"/>
                <w:numId w:val="1"/>
              </w:num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Students become more self-directed in their inquiries into the subject of HP Management.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4158C"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1a. Students will identify driving question(s) they have about the field that they want to learn more about.  </w:t>
            </w:r>
          </w:p>
          <w:p w14:paraId="5EDB569A" w14:textId="7CF599E8"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1b. &amp; 2b. Students will define ways to Lead/Manage their Career &amp; Wellness Growth.</w:t>
            </w:r>
          </w:p>
          <w:p w14:paraId="1F963B5F"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1c. Students will synthesize information from assigned materials to facilitate other students’ learning.</w:t>
            </w:r>
          </w:p>
          <w:p w14:paraId="617074CA"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1d. &amp; 3d. Students learn how to use appropriate teaching methods to facilitate learning</w:t>
            </w:r>
          </w:p>
        </w:tc>
      </w:tr>
      <w:tr w:rsidR="00C71D22" w:rsidRPr="00C71D22" w14:paraId="494A95AA" w14:textId="77777777" w:rsidTr="00C71D22">
        <w:trPr>
          <w:tblCellSpacing w:w="15" w:type="dxa"/>
        </w:trPr>
        <w:tc>
          <w:tcPr>
            <w:tcW w:w="0" w:type="auto"/>
            <w:tcBorders>
              <w:top w:val="single" w:sz="6" w:space="0" w:color="353535"/>
              <w:left w:val="single" w:sz="6" w:space="0" w:color="353535"/>
              <w:bottom w:val="single" w:sz="6" w:space="0" w:color="353535"/>
              <w:right w:val="single" w:sz="6" w:space="0" w:color="353535"/>
            </w:tcBorders>
            <w:vAlign w:val="center"/>
            <w:hideMark/>
          </w:tcPr>
          <w:p w14:paraId="76FD48B3" w14:textId="5AE67039"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2. Students will understand skills needed to be a successful manager / leader of projects and people.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AE98B"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1a. &amp; 2a. Students will learn to successfully manage a project to completion, individually and in a group.</w:t>
            </w:r>
          </w:p>
          <w:p w14:paraId="023E76B5"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1b. &amp;  2b. Students will define ways to Lead/Manage their Career &amp; Wellness Growth.</w:t>
            </w:r>
          </w:p>
          <w:p w14:paraId="315C9EF3"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2c. Students will demonstrate leadership and management skills in their course tasks.</w:t>
            </w:r>
          </w:p>
        </w:tc>
      </w:tr>
      <w:tr w:rsidR="00C71D22" w:rsidRPr="00C71D22" w14:paraId="35FD0AF0" w14:textId="77777777" w:rsidTr="00C71D22">
        <w:trPr>
          <w:tblCellSpacing w:w="15" w:type="dxa"/>
        </w:trPr>
        <w:tc>
          <w:tcPr>
            <w:tcW w:w="0" w:type="auto"/>
            <w:tcBorders>
              <w:top w:val="single" w:sz="6" w:space="0" w:color="353535"/>
              <w:left w:val="single" w:sz="6" w:space="0" w:color="353535"/>
              <w:bottom w:val="single" w:sz="6" w:space="0" w:color="353535"/>
              <w:right w:val="single" w:sz="6" w:space="0" w:color="353535"/>
            </w:tcBorders>
            <w:vAlign w:val="center"/>
            <w:hideMark/>
          </w:tcPr>
          <w:p w14:paraId="4D5C6CE1" w14:textId="63364CF6"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lastRenderedPageBreak/>
              <w:t>3. Students will understand how to apply best practice evidence-based strategies to different organizations, individuals, or populations to address need.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9D092" w14:textId="0EA137B2"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3a. Students choose evidence-based strategies to support needs of the organization, individual, or population.  </w:t>
            </w:r>
          </w:p>
          <w:p w14:paraId="72537343"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3b. Students discriminate best practice strategies from leading, promising, and emerging practice.  </w:t>
            </w:r>
          </w:p>
          <w:p w14:paraId="0679C5DB"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3c &amp; 4c. Students will compare traits from behavior change theory to traits of “Influencers.”</w:t>
            </w:r>
          </w:p>
          <w:p w14:paraId="08A8276C"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1d. &amp; 3d. Students learn how to use appropriate teaching methods to facilitate learning</w:t>
            </w:r>
          </w:p>
        </w:tc>
      </w:tr>
      <w:tr w:rsidR="00C71D22" w:rsidRPr="00C71D22" w14:paraId="3F9FA31C" w14:textId="77777777" w:rsidTr="00C71D22">
        <w:trPr>
          <w:tblCellSpacing w:w="15" w:type="dxa"/>
        </w:trPr>
        <w:tc>
          <w:tcPr>
            <w:tcW w:w="0" w:type="auto"/>
            <w:tcBorders>
              <w:top w:val="single" w:sz="6" w:space="0" w:color="353535"/>
              <w:left w:val="single" w:sz="6" w:space="0" w:color="353535"/>
              <w:bottom w:val="single" w:sz="6" w:space="0" w:color="353535"/>
              <w:right w:val="single" w:sz="6" w:space="0" w:color="353535"/>
            </w:tcBorders>
            <w:vAlign w:val="center"/>
            <w:hideMark/>
          </w:tcPr>
          <w:p w14:paraId="47997593"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4. Students will be able to analyze themselves and others on how behaviors / risks contribute to culture of health (COH).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060D1"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4a. Students can recognize the elements crucial to development of a COH.</w:t>
            </w:r>
          </w:p>
          <w:p w14:paraId="71CF18A6"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4b. Students can distinguish the challenges and barriers to behavior change in the individual.  </w:t>
            </w:r>
          </w:p>
          <w:p w14:paraId="30F199A2"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7"/>
              </w:rPr>
            </w:pPr>
            <w:r w:rsidRPr="00C71D22">
              <w:rPr>
                <w:rFonts w:eastAsia="Times New Roman" w:cstheme="minorHAnsi"/>
                <w:color w:val="000000"/>
                <w:sz w:val="24"/>
                <w:szCs w:val="27"/>
              </w:rPr>
              <w:t>4c. Students will compare traits in behavior change theory to traits of “Influencers.”</w:t>
            </w:r>
          </w:p>
        </w:tc>
      </w:tr>
    </w:tbl>
    <w:p w14:paraId="1C0C3EB9" w14:textId="29AC0C97" w:rsidR="00C71D22" w:rsidRPr="00C71D22" w:rsidRDefault="00C71D22">
      <w:pPr>
        <w:rPr>
          <w:rFonts w:cstheme="minorHAnsi"/>
        </w:rPr>
      </w:pPr>
    </w:p>
    <w:p w14:paraId="486BC084" w14:textId="163BBF1F" w:rsidR="00C71D22" w:rsidRPr="00C71D22" w:rsidRDefault="00C71D22">
      <w:pPr>
        <w:rPr>
          <w:rFonts w:cstheme="minorHAnsi"/>
          <w:b/>
          <w:sz w:val="24"/>
          <w:u w:val="single"/>
        </w:rPr>
      </w:pPr>
      <w:r w:rsidRPr="00C71D22">
        <w:rPr>
          <w:rFonts w:cstheme="minorHAnsi"/>
          <w:b/>
          <w:sz w:val="24"/>
          <w:u w:val="single"/>
        </w:rPr>
        <w:t>Course Policies</w:t>
      </w:r>
    </w:p>
    <w:p w14:paraId="22C41BBF" w14:textId="61D82B7B" w:rsidR="00C71D22" w:rsidRPr="00C71D22" w:rsidRDefault="00C71D22" w:rsidP="00C71D22">
      <w:p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Learning experts from Carnegie Mellon Foundation, The Ohio State University, and other educational experts agree that for every hour spent in class, students should be spending 2 hours out of class reading and working on assignments.  I feel a 1:1 is more appropriate with students.  You will have time in class throughout the semester to read, discuss, or work on assignments.  However</w:t>
      </w:r>
      <w:r w:rsidR="00B65743">
        <w:rPr>
          <w:rFonts w:eastAsia="Times New Roman" w:cstheme="minorHAnsi"/>
          <w:color w:val="000000"/>
          <w:sz w:val="24"/>
          <w:szCs w:val="24"/>
        </w:rPr>
        <w:t>,</w:t>
      </w:r>
      <w:bookmarkStart w:id="0" w:name="_GoBack"/>
      <w:bookmarkEnd w:id="0"/>
      <w:r w:rsidRPr="00C71D22">
        <w:rPr>
          <w:rFonts w:eastAsia="Times New Roman" w:cstheme="minorHAnsi"/>
          <w:color w:val="000000"/>
          <w:sz w:val="24"/>
          <w:szCs w:val="24"/>
        </w:rPr>
        <w:t xml:space="preserve"> expectations should not be that all assignments will be completed in class.  You are expected to read, prepare for learning/ teaching assignments, and work as a team on projects or individual aspects of assignments outside of class.  </w:t>
      </w:r>
    </w:p>
    <w:p w14:paraId="58692F59"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Areas to consider for success:  Attending class </w:t>
      </w:r>
      <w:r w:rsidRPr="00C71D22">
        <w:rPr>
          <w:rFonts w:eastAsia="Times New Roman" w:cstheme="minorHAnsi"/>
          <w:bCs/>
          <w:i/>
          <w:iCs/>
          <w:color w:val="000000"/>
          <w:sz w:val="24"/>
          <w:szCs w:val="24"/>
        </w:rPr>
        <w:t>ON TIME</w:t>
      </w:r>
      <w:r w:rsidRPr="00C71D22">
        <w:rPr>
          <w:rFonts w:eastAsia="Times New Roman" w:cstheme="minorHAnsi"/>
          <w:color w:val="000000"/>
          <w:sz w:val="24"/>
          <w:szCs w:val="24"/>
        </w:rPr>
        <w:t> for each in class scheduled date, taking notes and being able to reflect on topics covered in class, and </w:t>
      </w:r>
      <w:r w:rsidRPr="00C71D22">
        <w:rPr>
          <w:rFonts w:eastAsia="Times New Roman" w:cstheme="minorHAnsi"/>
          <w:bCs/>
          <w:i/>
          <w:iCs/>
          <w:color w:val="000000"/>
          <w:sz w:val="24"/>
          <w:szCs w:val="24"/>
        </w:rPr>
        <w:t>READING</w:t>
      </w:r>
      <w:r w:rsidRPr="00C71D22">
        <w:rPr>
          <w:rFonts w:eastAsia="Times New Roman" w:cstheme="minorHAnsi"/>
          <w:color w:val="000000"/>
          <w:sz w:val="24"/>
          <w:szCs w:val="24"/>
        </w:rPr>
        <w:t> the materials assigned.  Just because you are not teaching on a specific day does not mean you don't have to read the material assigned. </w:t>
      </w:r>
    </w:p>
    <w:p w14:paraId="564A55AD" w14:textId="77777777" w:rsidR="00C71D22" w:rsidRPr="00C71D22" w:rsidRDefault="00C71D22" w:rsidP="00D87971">
      <w:pPr>
        <w:spacing w:before="100" w:beforeAutospacing="1" w:after="100" w:afterAutospacing="1" w:line="240" w:lineRule="auto"/>
        <w:ind w:firstLine="360"/>
        <w:rPr>
          <w:rFonts w:eastAsia="Times New Roman" w:cstheme="minorHAnsi"/>
          <w:i/>
          <w:color w:val="000000"/>
          <w:sz w:val="24"/>
          <w:szCs w:val="24"/>
        </w:rPr>
      </w:pPr>
      <w:r w:rsidRPr="00D87971">
        <w:rPr>
          <w:rFonts w:eastAsia="Times New Roman" w:cstheme="minorHAnsi"/>
          <w:bCs/>
          <w:i/>
          <w:color w:val="000000"/>
          <w:sz w:val="24"/>
          <w:szCs w:val="24"/>
        </w:rPr>
        <w:lastRenderedPageBreak/>
        <w:t>POLICIES TO REMEMBER</w:t>
      </w:r>
    </w:p>
    <w:p w14:paraId="7CC5C0B6" w14:textId="77777777" w:rsidR="00C71D22" w:rsidRPr="00C71D22" w:rsidRDefault="00C71D22" w:rsidP="00C71D22">
      <w:pPr>
        <w:numPr>
          <w:ilvl w:val="0"/>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All written, online, or presentation assignments as outlined in the syllabus should be written in APA format unless otherwise indicated.  APA format is summarized in the Publication Manual of the </w:t>
      </w:r>
      <w:hyperlink r:id="rId5" w:tgtFrame="_blank" w:history="1">
        <w:r w:rsidRPr="00C71D22">
          <w:rPr>
            <w:rFonts w:eastAsia="Times New Roman" w:cstheme="minorHAnsi"/>
            <w:color w:val="0000FF"/>
            <w:sz w:val="24"/>
            <w:szCs w:val="24"/>
            <w:u w:val="single"/>
          </w:rPr>
          <w:t>American Psychological Association</w:t>
        </w:r>
      </w:hyperlink>
      <w:r w:rsidRPr="00C71D22">
        <w:rPr>
          <w:rFonts w:eastAsia="Times New Roman" w:cstheme="minorHAnsi"/>
          <w:color w:val="000000"/>
          <w:sz w:val="24"/>
          <w:szCs w:val="24"/>
        </w:rPr>
        <w:t>.</w:t>
      </w:r>
    </w:p>
    <w:p w14:paraId="497EF16A" w14:textId="77777777" w:rsidR="00C71D22" w:rsidRPr="00C71D22" w:rsidRDefault="00C71D22" w:rsidP="00C71D22">
      <w:pPr>
        <w:numPr>
          <w:ilvl w:val="0"/>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Writing assignments – receive a one-point additional credit for attending the tutoring center for assistance in writing. </w:t>
      </w:r>
    </w:p>
    <w:p w14:paraId="26004D8B" w14:textId="44BE21EF" w:rsidR="00C71D22" w:rsidRPr="00C71D22" w:rsidRDefault="00C71D22" w:rsidP="00C71D22">
      <w:pPr>
        <w:numPr>
          <w:ilvl w:val="0"/>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Assignments turned into the dropbox and discussion boards should be typed. These should always be formatted in </w:t>
      </w:r>
      <w:r w:rsidR="00D87971" w:rsidRPr="00C71D22">
        <w:rPr>
          <w:rFonts w:eastAsia="Times New Roman" w:cstheme="minorHAnsi"/>
          <w:bCs/>
          <w:color w:val="000000"/>
          <w:sz w:val="24"/>
          <w:szCs w:val="24"/>
        </w:rPr>
        <w:t>Word</w:t>
      </w:r>
      <w:r w:rsidR="00D87971" w:rsidRPr="00C71D22">
        <w:rPr>
          <w:rFonts w:eastAsia="Times New Roman" w:cstheme="minorHAnsi"/>
          <w:color w:val="000000"/>
          <w:sz w:val="24"/>
          <w:szCs w:val="24"/>
        </w:rPr>
        <w:t xml:space="preserve"> and</w:t>
      </w:r>
      <w:r w:rsidRPr="00C71D22">
        <w:rPr>
          <w:rFonts w:eastAsia="Times New Roman" w:cstheme="minorHAnsi"/>
          <w:color w:val="000000"/>
          <w:sz w:val="24"/>
          <w:szCs w:val="24"/>
        </w:rPr>
        <w:t xml:space="preserve"> if presenting, must use of </w:t>
      </w:r>
      <w:r w:rsidRPr="00C71D22">
        <w:rPr>
          <w:rFonts w:eastAsia="Times New Roman" w:cstheme="minorHAnsi"/>
          <w:bCs/>
          <w:color w:val="000000"/>
          <w:sz w:val="24"/>
          <w:szCs w:val="24"/>
        </w:rPr>
        <w:t>PowerPoint</w:t>
      </w:r>
      <w:r w:rsidRPr="00C71D22">
        <w:rPr>
          <w:rFonts w:eastAsia="Times New Roman" w:cstheme="minorHAnsi"/>
          <w:color w:val="000000"/>
          <w:sz w:val="24"/>
          <w:szCs w:val="24"/>
        </w:rPr>
        <w:t>. Each assignment does not have to spell this out as it is a standard course policy.  </w:t>
      </w:r>
    </w:p>
    <w:p w14:paraId="74ABA5C2" w14:textId="77777777" w:rsidR="00C71D22" w:rsidRPr="00C71D22" w:rsidRDefault="00C71D22" w:rsidP="00C71D22">
      <w:pPr>
        <w:numPr>
          <w:ilvl w:val="1"/>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Using other formats will result in a delay of grades and result in reduction of points.  </w:t>
      </w:r>
    </w:p>
    <w:p w14:paraId="780302A0" w14:textId="77777777" w:rsidR="00C71D22" w:rsidRPr="00C71D22" w:rsidRDefault="00C71D22" w:rsidP="00C71D22">
      <w:pPr>
        <w:numPr>
          <w:ilvl w:val="0"/>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Late Work - I will not accept any late work unless you notify me 24 hours before the assignment is due and get approval. Since class meets at 9:30 a.m., you will be required to notify me of any extensions you might need by the </w:t>
      </w:r>
      <w:r w:rsidRPr="00C71D22">
        <w:rPr>
          <w:rFonts w:eastAsia="Times New Roman" w:cstheme="minorHAnsi"/>
          <w:color w:val="000000"/>
          <w:sz w:val="24"/>
          <w:szCs w:val="24"/>
          <w:u w:val="single"/>
        </w:rPr>
        <w:t>previous day</w:t>
      </w:r>
      <w:r w:rsidRPr="00C71D22">
        <w:rPr>
          <w:rFonts w:eastAsia="Times New Roman" w:cstheme="minorHAnsi"/>
          <w:color w:val="000000"/>
          <w:sz w:val="24"/>
          <w:szCs w:val="24"/>
        </w:rPr>
        <w:t>. I will permit extensions for valid reasons, but no extensions or requests for missed points related to class participation.</w:t>
      </w:r>
    </w:p>
    <w:p w14:paraId="2688BDC5" w14:textId="4C839126" w:rsidR="00C71D22" w:rsidRPr="00C71D22" w:rsidRDefault="00C71D22" w:rsidP="00C71D22">
      <w:pPr>
        <w:numPr>
          <w:ilvl w:val="0"/>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If work is late you are still subject to a reduced score.  Each late day is reduced by 10% of the overall score. - </w:t>
      </w:r>
      <w:r w:rsidRPr="00C71D22">
        <w:rPr>
          <w:rFonts w:eastAsia="Times New Roman" w:cstheme="minorHAnsi"/>
          <w:bCs/>
          <w:i/>
          <w:iCs/>
          <w:color w:val="000000"/>
          <w:sz w:val="24"/>
          <w:szCs w:val="24"/>
        </w:rPr>
        <w:t xml:space="preserve">For </w:t>
      </w:r>
      <w:r w:rsidR="00D87971" w:rsidRPr="00C71D22">
        <w:rPr>
          <w:rFonts w:eastAsia="Times New Roman" w:cstheme="minorHAnsi"/>
          <w:bCs/>
          <w:i/>
          <w:iCs/>
          <w:color w:val="000000"/>
          <w:sz w:val="24"/>
          <w:szCs w:val="24"/>
        </w:rPr>
        <w:t>example,</w:t>
      </w:r>
      <w:r w:rsidRPr="00C71D22">
        <w:rPr>
          <w:rFonts w:eastAsia="Times New Roman" w:cstheme="minorHAnsi"/>
          <w:color w:val="000000"/>
          <w:sz w:val="24"/>
          <w:szCs w:val="24"/>
        </w:rPr>
        <w:t xml:space="preserve"> a </w:t>
      </w:r>
      <w:r w:rsidR="00D87971" w:rsidRPr="00C71D22">
        <w:rPr>
          <w:rFonts w:eastAsia="Times New Roman" w:cstheme="minorHAnsi"/>
          <w:color w:val="000000"/>
          <w:sz w:val="24"/>
          <w:szCs w:val="24"/>
        </w:rPr>
        <w:t>ten-point</w:t>
      </w:r>
      <w:r w:rsidRPr="00C71D22">
        <w:rPr>
          <w:rFonts w:eastAsia="Times New Roman" w:cstheme="minorHAnsi"/>
          <w:color w:val="000000"/>
          <w:sz w:val="24"/>
          <w:szCs w:val="24"/>
        </w:rPr>
        <w:t xml:space="preserve"> assignment that is one day late will be reduced by 1 point.  A </w:t>
      </w:r>
      <w:r w:rsidR="00D87971" w:rsidRPr="00C71D22">
        <w:rPr>
          <w:rFonts w:eastAsia="Times New Roman" w:cstheme="minorHAnsi"/>
          <w:color w:val="000000"/>
          <w:sz w:val="24"/>
          <w:szCs w:val="24"/>
        </w:rPr>
        <w:t>twenty-five-point</w:t>
      </w:r>
      <w:r w:rsidRPr="00C71D22">
        <w:rPr>
          <w:rFonts w:eastAsia="Times New Roman" w:cstheme="minorHAnsi"/>
          <w:color w:val="000000"/>
          <w:sz w:val="24"/>
          <w:szCs w:val="24"/>
        </w:rPr>
        <w:t xml:space="preserve"> assignment will be reduced by 2.5 points. </w:t>
      </w:r>
    </w:p>
    <w:p w14:paraId="66E4FBF7" w14:textId="77777777" w:rsidR="00C71D22" w:rsidRPr="00C71D22" w:rsidRDefault="00C71D22" w:rsidP="00C71D22">
      <w:pPr>
        <w:numPr>
          <w:ilvl w:val="0"/>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Assignments are due on date of class and learning group work should be completed as such. Assignments that are not labeled "IN CLASS ASSIGNMENTS" or "CLASS PARTICIPATION" assignments are due at 11:59 p.m. of the due date in the appropriate dropbox, </w:t>
      </w:r>
      <w:r w:rsidRPr="00C71D22">
        <w:rPr>
          <w:rFonts w:eastAsia="Times New Roman" w:cstheme="minorHAnsi"/>
          <w:bCs/>
          <w:i/>
          <w:iCs/>
          <w:color w:val="000000"/>
          <w:sz w:val="24"/>
          <w:szCs w:val="24"/>
        </w:rPr>
        <w:t>NOT</w:t>
      </w:r>
      <w:r w:rsidRPr="00C71D22">
        <w:rPr>
          <w:rFonts w:eastAsia="Times New Roman" w:cstheme="minorHAnsi"/>
          <w:i/>
          <w:iCs/>
          <w:color w:val="000000"/>
          <w:sz w:val="24"/>
          <w:szCs w:val="24"/>
        </w:rPr>
        <w:t> </w:t>
      </w:r>
      <w:r w:rsidRPr="00C71D22">
        <w:rPr>
          <w:rFonts w:eastAsia="Times New Roman" w:cstheme="minorHAnsi"/>
          <w:color w:val="000000"/>
          <w:sz w:val="24"/>
          <w:szCs w:val="24"/>
        </w:rPr>
        <w:t>by email.  </w:t>
      </w:r>
    </w:p>
    <w:p w14:paraId="79A324EB" w14:textId="77777777" w:rsidR="00C71D22" w:rsidRPr="00C71D22" w:rsidRDefault="00C71D22" w:rsidP="00C71D22">
      <w:pPr>
        <w:numPr>
          <w:ilvl w:val="0"/>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Class participation assignments are due IN CLASS and teaching plans must be in the dropbox 1/2 hour prior to the teaching date.  All students are expected to participate in online and in class discussions. </w:t>
      </w:r>
    </w:p>
    <w:p w14:paraId="02CC44AF" w14:textId="77777777" w:rsidR="00C71D22" w:rsidRPr="00C71D22" w:rsidRDefault="00C71D22" w:rsidP="00C71D22">
      <w:pPr>
        <w:numPr>
          <w:ilvl w:val="0"/>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bCs/>
          <w:color w:val="000000"/>
          <w:sz w:val="24"/>
          <w:szCs w:val="24"/>
        </w:rPr>
        <w:t>Notes</w:t>
      </w:r>
      <w:r w:rsidRPr="00C71D22">
        <w:rPr>
          <w:rFonts w:eastAsia="Times New Roman" w:cstheme="minorHAnsi"/>
          <w:color w:val="000000"/>
          <w:sz w:val="24"/>
          <w:szCs w:val="24"/>
        </w:rPr>
        <w:t> – students are expected to take notes so as to participate in class discussion and being able to refer back to previously covered information. This may be used for unscheduled quizzes and knowledge checks. Note taking is a sign of learning and processing information.     </w:t>
      </w:r>
    </w:p>
    <w:p w14:paraId="7173A40B" w14:textId="19630497" w:rsidR="00C71D22" w:rsidRDefault="00C71D22" w:rsidP="00C71D22">
      <w:pPr>
        <w:numPr>
          <w:ilvl w:val="0"/>
          <w:numId w:val="2"/>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Bring the appropriate books to class on the date of the assigned readings. </w:t>
      </w:r>
    </w:p>
    <w:p w14:paraId="06B3D081" w14:textId="0EA6E921" w:rsidR="00C71D22" w:rsidRPr="00C71D22" w:rsidRDefault="00C71D22" w:rsidP="00C71D22">
      <w:pPr>
        <w:spacing w:before="100" w:beforeAutospacing="1" w:after="100" w:afterAutospacing="1" w:line="240" w:lineRule="auto"/>
        <w:rPr>
          <w:rFonts w:eastAsia="Times New Roman" w:cstheme="minorHAnsi"/>
          <w:b/>
          <w:color w:val="000000"/>
          <w:sz w:val="24"/>
          <w:szCs w:val="24"/>
          <w:u w:val="single"/>
        </w:rPr>
      </w:pPr>
      <w:r w:rsidRPr="00C71D22">
        <w:rPr>
          <w:rFonts w:eastAsia="Times New Roman" w:cstheme="minorHAnsi"/>
          <w:b/>
          <w:color w:val="000000"/>
          <w:sz w:val="24"/>
          <w:szCs w:val="24"/>
          <w:u w:val="single"/>
        </w:rPr>
        <w:t>Attendance</w:t>
      </w:r>
    </w:p>
    <w:p w14:paraId="56367B9B" w14:textId="78E28738" w:rsidR="00C71D22" w:rsidRPr="00C71D22" w:rsidRDefault="00C71D22" w:rsidP="00C71D22">
      <w:pPr>
        <w:spacing w:after="0" w:line="240" w:lineRule="auto"/>
        <w:rPr>
          <w:rFonts w:eastAsia="Times New Roman" w:cstheme="minorHAnsi"/>
          <w:sz w:val="24"/>
          <w:szCs w:val="24"/>
        </w:rPr>
      </w:pPr>
      <w:r w:rsidRPr="00C71D22">
        <w:rPr>
          <w:rFonts w:eastAsia="Times New Roman" w:cstheme="minorHAnsi"/>
          <w:color w:val="000000"/>
          <w:sz w:val="24"/>
          <w:szCs w:val="24"/>
        </w:rPr>
        <w:t>As outlined in this syllabus section and covered on the first day of class these are the attendance policies:</w:t>
      </w:r>
    </w:p>
    <w:p w14:paraId="0330D403" w14:textId="143D165E" w:rsidR="00C71D22" w:rsidRPr="00C71D22" w:rsidRDefault="00C71D22" w:rsidP="00C71D22">
      <w:pPr>
        <w:numPr>
          <w:ilvl w:val="0"/>
          <w:numId w:val="3"/>
        </w:numPr>
        <w:spacing w:before="100" w:beforeAutospacing="1" w:after="100" w:afterAutospacing="1" w:line="240" w:lineRule="auto"/>
        <w:rPr>
          <w:rFonts w:eastAsia="Times New Roman" w:cstheme="minorHAnsi"/>
          <w:color w:val="000000"/>
          <w:sz w:val="27"/>
          <w:szCs w:val="27"/>
        </w:rPr>
      </w:pPr>
      <w:r w:rsidRPr="00C71D22">
        <w:rPr>
          <w:rFonts w:eastAsia="Times New Roman" w:cstheme="minorHAnsi"/>
          <w:color w:val="000000"/>
          <w:sz w:val="24"/>
          <w:szCs w:val="24"/>
        </w:rPr>
        <w:t>You are encouraged to attend class. I will take attendance every day, and anyone who misses more than three classes (</w:t>
      </w:r>
      <w:r w:rsidR="00D87971" w:rsidRPr="00C71D22">
        <w:rPr>
          <w:rFonts w:eastAsia="Times New Roman" w:cstheme="minorHAnsi"/>
          <w:color w:val="000000"/>
          <w:sz w:val="24"/>
          <w:szCs w:val="24"/>
        </w:rPr>
        <w:t>unexcused) will</w:t>
      </w:r>
      <w:r w:rsidRPr="00C71D22">
        <w:rPr>
          <w:rFonts w:eastAsia="Times New Roman" w:cstheme="minorHAnsi"/>
          <w:color w:val="000000"/>
          <w:sz w:val="24"/>
          <w:szCs w:val="24"/>
        </w:rPr>
        <w:t xml:space="preserve"> be reduced 15 points. The reasoning behind this is that the work you do in class is crucial to your development as a manager, is expected professional behavior, and, therefore, you should be in class. </w:t>
      </w:r>
      <w:r w:rsidRPr="00C71D22">
        <w:rPr>
          <w:rFonts w:eastAsia="Times New Roman" w:cstheme="minorHAnsi"/>
          <w:color w:val="333333"/>
          <w:sz w:val="24"/>
          <w:szCs w:val="24"/>
        </w:rPr>
        <w:t>Missing 6 (unexcused) or more classes will result in a failing grade with no exceptions.</w:t>
      </w:r>
    </w:p>
    <w:p w14:paraId="03421D62" w14:textId="77777777" w:rsidR="00C71D22" w:rsidRPr="00C71D22" w:rsidRDefault="00C71D22" w:rsidP="00C71D22">
      <w:pPr>
        <w:numPr>
          <w:ilvl w:val="0"/>
          <w:numId w:val="3"/>
        </w:numPr>
        <w:spacing w:before="100" w:beforeAutospacing="1" w:after="100" w:afterAutospacing="1" w:line="240" w:lineRule="auto"/>
        <w:rPr>
          <w:rFonts w:eastAsia="Times New Roman" w:cstheme="minorHAnsi"/>
          <w:color w:val="000000"/>
          <w:sz w:val="27"/>
          <w:szCs w:val="27"/>
        </w:rPr>
      </w:pPr>
      <w:r w:rsidRPr="00C71D22">
        <w:rPr>
          <w:rFonts w:eastAsia="Times New Roman" w:cstheme="minorHAnsi"/>
          <w:color w:val="000000"/>
          <w:sz w:val="24"/>
          <w:szCs w:val="24"/>
        </w:rPr>
        <w:lastRenderedPageBreak/>
        <w:t>Students are expected to attend all scheduled in class days.  Assignments are still due on date of class and learning group work should be completed.  All students are expected to participate in online and in class discussions. </w:t>
      </w:r>
    </w:p>
    <w:p w14:paraId="1A6DE51D" w14:textId="77777777" w:rsidR="00C71D22" w:rsidRPr="00C71D22" w:rsidRDefault="00C71D22" w:rsidP="00C71D22">
      <w:pPr>
        <w:numPr>
          <w:ilvl w:val="0"/>
          <w:numId w:val="3"/>
        </w:numPr>
        <w:spacing w:before="100" w:beforeAutospacing="1" w:after="100" w:afterAutospacing="1" w:line="240" w:lineRule="auto"/>
        <w:rPr>
          <w:rFonts w:eastAsia="Times New Roman" w:cstheme="minorHAnsi"/>
          <w:color w:val="000000"/>
          <w:sz w:val="27"/>
          <w:szCs w:val="27"/>
        </w:rPr>
      </w:pPr>
      <w:r w:rsidRPr="00C71D22">
        <w:rPr>
          <w:rFonts w:eastAsia="Times New Roman" w:cstheme="minorHAnsi"/>
          <w:color w:val="000000"/>
          <w:sz w:val="24"/>
          <w:szCs w:val="24"/>
        </w:rPr>
        <w:t>Please have respect for fellow students and the instructor. This includes being on time to class, refraining from talking with fellow students when </w:t>
      </w:r>
      <w:r w:rsidRPr="00C71D22">
        <w:rPr>
          <w:rFonts w:eastAsia="Times New Roman" w:cstheme="minorHAnsi"/>
          <w:b/>
          <w:bCs/>
          <w:color w:val="000000"/>
          <w:sz w:val="24"/>
          <w:szCs w:val="24"/>
        </w:rPr>
        <w:t>NOT</w:t>
      </w:r>
      <w:r w:rsidRPr="00C71D22">
        <w:rPr>
          <w:rFonts w:eastAsia="Times New Roman" w:cstheme="minorHAnsi"/>
          <w:color w:val="000000"/>
          <w:sz w:val="24"/>
          <w:szCs w:val="24"/>
        </w:rPr>
        <w:t> in group, or other discussion mode, leaving and returning to class for non-emergency reasons.  </w:t>
      </w:r>
    </w:p>
    <w:p w14:paraId="04FB4FF8" w14:textId="77777777" w:rsidR="00C71D22" w:rsidRPr="00C71D22" w:rsidRDefault="00C71D22" w:rsidP="00C71D22">
      <w:pPr>
        <w:numPr>
          <w:ilvl w:val="0"/>
          <w:numId w:val="3"/>
        </w:numPr>
        <w:spacing w:before="100" w:beforeAutospacing="1" w:after="100" w:afterAutospacing="1" w:line="240" w:lineRule="auto"/>
        <w:rPr>
          <w:rFonts w:eastAsia="Times New Roman" w:cstheme="minorHAnsi"/>
          <w:color w:val="000000"/>
          <w:sz w:val="27"/>
          <w:szCs w:val="27"/>
        </w:rPr>
      </w:pPr>
      <w:r w:rsidRPr="00C71D22">
        <w:rPr>
          <w:rFonts w:eastAsia="Times New Roman" w:cstheme="minorHAnsi"/>
          <w:color w:val="333333"/>
          <w:sz w:val="24"/>
          <w:szCs w:val="24"/>
        </w:rPr>
        <w:t>Attendance is logged at the first of class.  It is your responsibility if you are late to notify the instructor.  Otherwise you are counted as absent. </w:t>
      </w:r>
    </w:p>
    <w:p w14:paraId="38377F0E" w14:textId="77777777" w:rsidR="00C71D22" w:rsidRPr="00C71D22" w:rsidRDefault="00C71D22" w:rsidP="00C71D22">
      <w:pPr>
        <w:numPr>
          <w:ilvl w:val="0"/>
          <w:numId w:val="3"/>
        </w:numPr>
        <w:spacing w:before="100" w:beforeAutospacing="1" w:after="100" w:afterAutospacing="1" w:line="240" w:lineRule="auto"/>
        <w:rPr>
          <w:rFonts w:eastAsia="Times New Roman" w:cstheme="minorHAnsi"/>
          <w:color w:val="000000"/>
          <w:sz w:val="27"/>
          <w:szCs w:val="27"/>
        </w:rPr>
      </w:pPr>
      <w:r w:rsidRPr="00C71D22">
        <w:rPr>
          <w:rFonts w:eastAsia="Times New Roman" w:cstheme="minorHAnsi"/>
          <w:color w:val="000000"/>
          <w:sz w:val="24"/>
          <w:szCs w:val="24"/>
        </w:rPr>
        <w:t>Late: a consistent pattern of lateness noted in the daily roll, will count as a missed day for each three occurrences. </w:t>
      </w:r>
    </w:p>
    <w:p w14:paraId="441218F1" w14:textId="5BF1AFB4" w:rsidR="00C71D22" w:rsidRPr="00C71D22" w:rsidRDefault="00C71D22" w:rsidP="00C71D22">
      <w:pPr>
        <w:numPr>
          <w:ilvl w:val="0"/>
          <w:numId w:val="3"/>
        </w:numPr>
        <w:spacing w:before="100" w:beforeAutospacing="1" w:after="100" w:afterAutospacing="1" w:line="240" w:lineRule="auto"/>
        <w:rPr>
          <w:rFonts w:eastAsia="Times New Roman" w:cstheme="minorHAnsi"/>
          <w:color w:val="000000"/>
          <w:sz w:val="27"/>
          <w:szCs w:val="27"/>
        </w:rPr>
      </w:pPr>
      <w:r w:rsidRPr="00C71D22">
        <w:rPr>
          <w:rFonts w:eastAsia="Times New Roman" w:cstheme="minorHAnsi"/>
          <w:color w:val="000000"/>
          <w:sz w:val="24"/>
          <w:szCs w:val="24"/>
        </w:rPr>
        <w:t>Absences – I appreciate when students let me, and other class members know when they are absent.  However, there are few excused absences are through notification to the instructor: family emergencies (illness/injury, death) or personal illness/injury.  Medical notes are a great way to track these absences.  See instructor for other questions.  </w:t>
      </w:r>
    </w:p>
    <w:p w14:paraId="0553A98D" w14:textId="77777777" w:rsidR="00C71D22" w:rsidRPr="00C71D22" w:rsidRDefault="00C71D22" w:rsidP="00C71D22">
      <w:pPr>
        <w:numPr>
          <w:ilvl w:val="0"/>
          <w:numId w:val="3"/>
        </w:numPr>
        <w:spacing w:before="100" w:beforeAutospacing="1" w:after="100" w:afterAutospacing="1" w:line="240" w:lineRule="auto"/>
        <w:rPr>
          <w:rFonts w:eastAsia="Times New Roman" w:cstheme="minorHAnsi"/>
          <w:color w:val="000000"/>
          <w:sz w:val="27"/>
          <w:szCs w:val="27"/>
        </w:rPr>
      </w:pPr>
      <w:r w:rsidRPr="00C71D22">
        <w:rPr>
          <w:rFonts w:eastAsia="Times New Roman" w:cstheme="minorHAnsi"/>
          <w:color w:val="000000"/>
          <w:sz w:val="24"/>
          <w:szCs w:val="24"/>
        </w:rPr>
        <w:t>You are also expected to exhibit professional behavior (being on time, using time before or after class to get water, take bathroom breaks, ask questions unrelated to the course) while in class which includes being present, only using technology as appropriate for course assignments, and paying attention to anyone who is speaking or presenting during class.  This includes the professor, fellow students, and guest speakers.  </w:t>
      </w:r>
    </w:p>
    <w:p w14:paraId="03DEF208" w14:textId="4EF42B6F" w:rsidR="00C71D22" w:rsidRPr="00C71D22" w:rsidRDefault="00C71D22" w:rsidP="00C71D22">
      <w:pPr>
        <w:spacing w:before="100" w:beforeAutospacing="1" w:after="100" w:afterAutospacing="1" w:line="240" w:lineRule="auto"/>
        <w:rPr>
          <w:b/>
          <w:color w:val="000000"/>
          <w:sz w:val="24"/>
          <w:szCs w:val="24"/>
          <w:u w:val="single"/>
        </w:rPr>
      </w:pPr>
      <w:r w:rsidRPr="00C71D22">
        <w:rPr>
          <w:b/>
          <w:color w:val="000000"/>
          <w:sz w:val="24"/>
          <w:szCs w:val="24"/>
          <w:u w:val="single"/>
        </w:rPr>
        <w:t>Policy on Instructional Modification</w:t>
      </w:r>
    </w:p>
    <w:p w14:paraId="344A45D2" w14:textId="61EE7AFC" w:rsidR="00C71D22" w:rsidRDefault="00C71D22" w:rsidP="00C71D22">
      <w:pPr>
        <w:spacing w:before="100" w:beforeAutospacing="1" w:after="100" w:afterAutospacing="1" w:line="240" w:lineRule="auto"/>
        <w:ind w:left="360"/>
        <w:rPr>
          <w:color w:val="000000"/>
          <w:sz w:val="24"/>
          <w:szCs w:val="24"/>
        </w:rPr>
      </w:pPr>
      <w:r w:rsidRPr="00C71D22">
        <w:rPr>
          <w:color w:val="000000"/>
          <w:sz w:val="24"/>
          <w:szCs w:val="24"/>
        </w:rPr>
        <w:t xml:space="preserve">If you have a disability or condition that may require assistance or </w:t>
      </w:r>
      <w:r w:rsidRPr="00C71D22">
        <w:rPr>
          <w:color w:val="000000"/>
          <w:sz w:val="24"/>
          <w:szCs w:val="24"/>
        </w:rPr>
        <w:t>accommodation,</w:t>
      </w:r>
      <w:r w:rsidRPr="00C71D22">
        <w:rPr>
          <w:color w:val="000000"/>
          <w:sz w:val="24"/>
          <w:szCs w:val="24"/>
        </w:rPr>
        <w:t xml:space="preserve"> or you have questions related to any accommodations for testing, note takers, readers, etc. please speak with the course instructor as soon as possible.  Student may also contact the Office of Disability Services with questions about such services.   </w:t>
      </w:r>
    </w:p>
    <w:p w14:paraId="14F0F349" w14:textId="3B829547" w:rsidR="00C71D22" w:rsidRPr="00C71D22" w:rsidRDefault="00C71D22" w:rsidP="00C71D22">
      <w:pPr>
        <w:spacing w:before="100" w:beforeAutospacing="1" w:after="100" w:afterAutospacing="1" w:line="240" w:lineRule="auto"/>
        <w:rPr>
          <w:rFonts w:eastAsia="Times New Roman" w:cstheme="minorHAnsi"/>
          <w:b/>
          <w:color w:val="000000"/>
          <w:sz w:val="24"/>
          <w:szCs w:val="24"/>
          <w:u w:val="single"/>
        </w:rPr>
      </w:pPr>
      <w:r w:rsidRPr="00C71D22">
        <w:rPr>
          <w:rFonts w:eastAsia="Times New Roman" w:cstheme="minorHAnsi"/>
          <w:b/>
          <w:color w:val="000000"/>
          <w:sz w:val="24"/>
          <w:szCs w:val="24"/>
          <w:u w:val="single"/>
        </w:rPr>
        <w:t>Class Resources</w:t>
      </w:r>
    </w:p>
    <w:p w14:paraId="6C90D1C7" w14:textId="1BA5A1DB" w:rsidR="00C71D22" w:rsidRPr="00C71D22" w:rsidRDefault="00C71D22" w:rsidP="00C71D22">
      <w:pPr>
        <w:pStyle w:val="ListParagraph"/>
        <w:numPr>
          <w:ilvl w:val="0"/>
          <w:numId w:val="4"/>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Influencer: The New Science of Leading Change Second Edition</w:t>
      </w:r>
    </w:p>
    <w:p w14:paraId="3C3F18F7" w14:textId="3A9E73BF" w:rsidR="00C71D22" w:rsidRDefault="00C71D22" w:rsidP="00C71D22">
      <w:pPr>
        <w:pStyle w:val="ListParagraph"/>
        <w:numPr>
          <w:ilvl w:val="0"/>
          <w:numId w:val="4"/>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Workplace Wellness that Works, First Edition, Laura Putnam</w:t>
      </w:r>
    </w:p>
    <w:p w14:paraId="6BCB32AA" w14:textId="7D0681E7" w:rsidR="00C71D22" w:rsidRPr="00C71D22" w:rsidRDefault="00C71D22" w:rsidP="00C71D22">
      <w:pPr>
        <w:spacing w:before="100" w:beforeAutospacing="1" w:after="100" w:afterAutospacing="1" w:line="240" w:lineRule="auto"/>
        <w:rPr>
          <w:rFonts w:eastAsia="Times New Roman" w:cstheme="minorHAnsi"/>
          <w:b/>
          <w:color w:val="000000"/>
          <w:sz w:val="24"/>
          <w:szCs w:val="24"/>
          <w:u w:val="single"/>
        </w:rPr>
      </w:pPr>
      <w:r w:rsidRPr="00C71D22">
        <w:rPr>
          <w:rFonts w:eastAsia="Times New Roman" w:cstheme="minorHAnsi"/>
          <w:b/>
          <w:color w:val="000000"/>
          <w:sz w:val="24"/>
          <w:szCs w:val="24"/>
          <w:u w:val="single"/>
        </w:rPr>
        <w:t>Grading</w:t>
      </w:r>
    </w:p>
    <w:tbl>
      <w:tblPr>
        <w:tblW w:w="0" w:type="dxa"/>
        <w:tblInd w:w="93" w:type="dxa"/>
        <w:tblCellMar>
          <w:left w:w="0" w:type="dxa"/>
          <w:right w:w="0" w:type="dxa"/>
        </w:tblCellMar>
        <w:tblLook w:val="04A0" w:firstRow="1" w:lastRow="0" w:firstColumn="1" w:lastColumn="0" w:noHBand="0" w:noVBand="1"/>
      </w:tblPr>
      <w:tblGrid>
        <w:gridCol w:w="4491"/>
        <w:gridCol w:w="4398"/>
      </w:tblGrid>
      <w:tr w:rsidR="00C71D22" w:rsidRPr="00C71D22" w14:paraId="45D34771" w14:textId="77777777" w:rsidTr="00C71D22">
        <w:trPr>
          <w:trHeight w:val="280"/>
        </w:trPr>
        <w:tc>
          <w:tcPr>
            <w:tcW w:w="88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8C20CE"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b/>
                <w:bCs/>
                <w:color w:val="000000"/>
                <w:sz w:val="18"/>
              </w:rPr>
              <w:t>GRADING SCALE</w:t>
            </w:r>
          </w:p>
        </w:tc>
      </w:tr>
      <w:tr w:rsidR="00C71D22" w:rsidRPr="00C71D22" w14:paraId="0C9C1059" w14:textId="77777777" w:rsidTr="00C71D22">
        <w:trPr>
          <w:trHeight w:val="280"/>
        </w:trPr>
        <w:tc>
          <w:tcPr>
            <w:tcW w:w="4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89443"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94-100 %</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280CC2DB"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A   ( – 400)</w:t>
            </w:r>
          </w:p>
        </w:tc>
      </w:tr>
      <w:tr w:rsidR="00C71D22" w:rsidRPr="00C71D22" w14:paraId="0EBF9D9E" w14:textId="77777777" w:rsidTr="00C71D22">
        <w:trPr>
          <w:trHeight w:val="280"/>
        </w:trPr>
        <w:tc>
          <w:tcPr>
            <w:tcW w:w="4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BD011"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90-93 %</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5DD9FCAF"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A-  (270 – 281)</w:t>
            </w:r>
          </w:p>
        </w:tc>
      </w:tr>
      <w:tr w:rsidR="00C71D22" w:rsidRPr="00C71D22" w14:paraId="61ACA3CD" w14:textId="77777777" w:rsidTr="00C71D22">
        <w:trPr>
          <w:trHeight w:val="280"/>
        </w:trPr>
        <w:tc>
          <w:tcPr>
            <w:tcW w:w="4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E7A48"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87-89 %</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0E760BBA"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B+  (261 – 269)</w:t>
            </w:r>
          </w:p>
        </w:tc>
      </w:tr>
      <w:tr w:rsidR="00C71D22" w:rsidRPr="00C71D22" w14:paraId="0E2FB5E5" w14:textId="77777777" w:rsidTr="00C71D22">
        <w:trPr>
          <w:trHeight w:val="280"/>
        </w:trPr>
        <w:tc>
          <w:tcPr>
            <w:tcW w:w="4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4E962"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83-86 %</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384A1C62"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B    (249 – 261)</w:t>
            </w:r>
          </w:p>
        </w:tc>
      </w:tr>
      <w:tr w:rsidR="00C71D22" w:rsidRPr="00C71D22" w14:paraId="4EC8F006" w14:textId="77777777" w:rsidTr="00C71D22">
        <w:trPr>
          <w:trHeight w:val="280"/>
        </w:trPr>
        <w:tc>
          <w:tcPr>
            <w:tcW w:w="4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1C0F2"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80-82 %</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5C33EAF0"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B-   (240 – 248)</w:t>
            </w:r>
          </w:p>
        </w:tc>
      </w:tr>
      <w:tr w:rsidR="00C71D22" w:rsidRPr="00C71D22" w14:paraId="04191136" w14:textId="77777777" w:rsidTr="00C71D22">
        <w:trPr>
          <w:trHeight w:val="280"/>
        </w:trPr>
        <w:tc>
          <w:tcPr>
            <w:tcW w:w="4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CF32B"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70-79 %</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3EF97C0F"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C    (210 – 239)</w:t>
            </w:r>
          </w:p>
        </w:tc>
      </w:tr>
      <w:tr w:rsidR="00C71D22" w:rsidRPr="00C71D22" w14:paraId="7743C795" w14:textId="77777777" w:rsidTr="00C71D22">
        <w:trPr>
          <w:trHeight w:val="280"/>
        </w:trPr>
        <w:tc>
          <w:tcPr>
            <w:tcW w:w="4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5FC37"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65 – 69%</w:t>
            </w:r>
          </w:p>
          <w:p w14:paraId="70999B46"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64 % and below</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4FE6CFB4"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D    (195 – 209)</w:t>
            </w:r>
          </w:p>
          <w:p w14:paraId="64BB0F38" w14:textId="77777777" w:rsidR="00C71D22" w:rsidRPr="00C71D22" w:rsidRDefault="00C71D22" w:rsidP="00C71D22">
            <w:pPr>
              <w:spacing w:after="0" w:line="240" w:lineRule="auto"/>
              <w:rPr>
                <w:rFonts w:ascii="Garamond" w:eastAsia="Times New Roman" w:hAnsi="Garamond" w:cs="Times New Roman"/>
                <w:color w:val="000000"/>
                <w:sz w:val="18"/>
              </w:rPr>
            </w:pPr>
            <w:r w:rsidRPr="00C71D22">
              <w:rPr>
                <w:rFonts w:ascii="Calibri" w:eastAsia="Times New Roman" w:hAnsi="Calibri" w:cs="Calibri"/>
                <w:color w:val="000000"/>
                <w:sz w:val="18"/>
              </w:rPr>
              <w:t>F     (&lt;195)</w:t>
            </w:r>
          </w:p>
        </w:tc>
      </w:tr>
    </w:tbl>
    <w:p w14:paraId="7E4CA313"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b/>
          <w:bCs/>
          <w:color w:val="000000"/>
          <w:sz w:val="24"/>
          <w:szCs w:val="24"/>
          <w:u w:val="single"/>
        </w:rPr>
        <w:lastRenderedPageBreak/>
        <w:t>Class Assignments 400 POINTS TOTAL</w:t>
      </w:r>
    </w:p>
    <w:p w14:paraId="5D190B28"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b/>
          <w:bCs/>
          <w:color w:val="000000"/>
          <w:sz w:val="24"/>
          <w:szCs w:val="24"/>
        </w:rPr>
        <w:t>Individual Assignments                                                                                  200</w:t>
      </w:r>
    </w:p>
    <w:p w14:paraId="24CDF618" w14:textId="3633F89B" w:rsidR="00C71D22" w:rsidRPr="00C71D22" w:rsidRDefault="00C71D22" w:rsidP="00C71D22">
      <w:pPr>
        <w:numPr>
          <w:ilvl w:val="0"/>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Activity breaks                                                                                          </w:t>
      </w:r>
      <w:r>
        <w:rPr>
          <w:rFonts w:eastAsia="Times New Roman" w:cstheme="minorHAnsi"/>
          <w:color w:val="000000"/>
          <w:sz w:val="24"/>
          <w:szCs w:val="24"/>
        </w:rPr>
        <w:tab/>
      </w:r>
      <w:r>
        <w:rPr>
          <w:rFonts w:eastAsia="Times New Roman" w:cstheme="minorHAnsi"/>
          <w:color w:val="000000"/>
          <w:sz w:val="24"/>
          <w:szCs w:val="24"/>
        </w:rPr>
        <w:tab/>
      </w:r>
      <w:r w:rsidRPr="00C71D22">
        <w:rPr>
          <w:rFonts w:eastAsia="Times New Roman" w:cstheme="minorHAnsi"/>
          <w:color w:val="000000"/>
          <w:sz w:val="24"/>
          <w:szCs w:val="24"/>
        </w:rPr>
        <w:t>10 </w:t>
      </w:r>
    </w:p>
    <w:p w14:paraId="0C66B42A" w14:textId="02D5276E" w:rsidR="00C71D22" w:rsidRPr="00C71D22" w:rsidRDefault="00C71D22" w:rsidP="00C71D22">
      <w:pPr>
        <w:numPr>
          <w:ilvl w:val="0"/>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Weekly Reflections (weeks 2 – 15 a minimum of 10 required)       </w:t>
      </w:r>
      <w:r>
        <w:rPr>
          <w:rFonts w:eastAsia="Times New Roman" w:cstheme="minorHAnsi"/>
          <w:color w:val="000000"/>
          <w:sz w:val="24"/>
          <w:szCs w:val="24"/>
        </w:rPr>
        <w:tab/>
      </w:r>
      <w:r>
        <w:rPr>
          <w:rFonts w:eastAsia="Times New Roman" w:cstheme="minorHAnsi"/>
          <w:color w:val="000000"/>
          <w:sz w:val="24"/>
          <w:szCs w:val="24"/>
        </w:rPr>
        <w:tab/>
      </w:r>
      <w:r w:rsidRPr="00C71D22">
        <w:rPr>
          <w:rFonts w:eastAsia="Times New Roman" w:cstheme="minorHAnsi"/>
          <w:color w:val="000000"/>
          <w:sz w:val="24"/>
          <w:szCs w:val="24"/>
        </w:rPr>
        <w:t>100 </w:t>
      </w:r>
    </w:p>
    <w:p w14:paraId="5B1A60A2" w14:textId="59A90EFF" w:rsidR="00C71D22" w:rsidRPr="00C71D22" w:rsidRDefault="003D1043" w:rsidP="00C71D22">
      <w:pPr>
        <w:numPr>
          <w:ilvl w:val="0"/>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Midterm</w:t>
      </w:r>
      <w:r w:rsidR="00C71D22" w:rsidRPr="00C71D22">
        <w:rPr>
          <w:rFonts w:eastAsia="Times New Roman" w:cstheme="minorHAnsi"/>
          <w:color w:val="000000"/>
          <w:sz w:val="24"/>
          <w:szCs w:val="24"/>
        </w:rPr>
        <w:t xml:space="preserve"> Knowledge Check                                                                      </w:t>
      </w:r>
      <w:r w:rsidR="00C71D22">
        <w:rPr>
          <w:rFonts w:eastAsia="Times New Roman" w:cstheme="minorHAnsi"/>
          <w:color w:val="000000"/>
          <w:sz w:val="24"/>
          <w:szCs w:val="24"/>
        </w:rPr>
        <w:tab/>
      </w:r>
      <w:r w:rsidR="00C71D22" w:rsidRPr="00C71D22">
        <w:rPr>
          <w:rFonts w:eastAsia="Times New Roman" w:cstheme="minorHAnsi"/>
          <w:color w:val="000000"/>
          <w:sz w:val="24"/>
          <w:szCs w:val="24"/>
        </w:rPr>
        <w:t>20</w:t>
      </w:r>
    </w:p>
    <w:p w14:paraId="1DFA1B98" w14:textId="4A5F2292" w:rsidR="00C71D22" w:rsidRPr="00C71D22" w:rsidRDefault="00C71D22" w:rsidP="00C71D22">
      <w:pPr>
        <w:numPr>
          <w:ilvl w:val="0"/>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Final Knowledge Check                                                                            </w:t>
      </w:r>
      <w:r>
        <w:rPr>
          <w:rFonts w:eastAsia="Times New Roman" w:cstheme="minorHAnsi"/>
          <w:color w:val="000000"/>
          <w:sz w:val="24"/>
          <w:szCs w:val="24"/>
        </w:rPr>
        <w:tab/>
      </w:r>
      <w:r>
        <w:rPr>
          <w:rFonts w:eastAsia="Times New Roman" w:cstheme="minorHAnsi"/>
          <w:color w:val="000000"/>
          <w:sz w:val="24"/>
          <w:szCs w:val="24"/>
        </w:rPr>
        <w:tab/>
      </w:r>
      <w:r w:rsidRPr="00C71D22">
        <w:rPr>
          <w:rFonts w:eastAsia="Times New Roman" w:cstheme="minorHAnsi"/>
          <w:color w:val="000000"/>
          <w:sz w:val="24"/>
          <w:szCs w:val="24"/>
        </w:rPr>
        <w:t>20</w:t>
      </w:r>
    </w:p>
    <w:p w14:paraId="1F01498C" w14:textId="08AA1C7B" w:rsidR="00C71D22" w:rsidRPr="00C71D22" w:rsidRDefault="00C71D22" w:rsidP="00C71D22">
      <w:pPr>
        <w:numPr>
          <w:ilvl w:val="0"/>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Engagement during the semester                                                            </w:t>
      </w:r>
      <w:r>
        <w:rPr>
          <w:rFonts w:eastAsia="Times New Roman" w:cstheme="minorHAnsi"/>
          <w:color w:val="000000"/>
          <w:sz w:val="24"/>
          <w:szCs w:val="24"/>
        </w:rPr>
        <w:tab/>
      </w:r>
      <w:r w:rsidRPr="00C71D22">
        <w:rPr>
          <w:rFonts w:eastAsia="Times New Roman" w:cstheme="minorHAnsi"/>
          <w:color w:val="000000"/>
          <w:sz w:val="24"/>
          <w:szCs w:val="24"/>
        </w:rPr>
        <w:t>10</w:t>
      </w:r>
    </w:p>
    <w:p w14:paraId="0F6F4399" w14:textId="5A574756" w:rsidR="00C71D22" w:rsidRPr="00C71D22" w:rsidRDefault="00C71D22" w:rsidP="00C71D22">
      <w:pPr>
        <w:numPr>
          <w:ilvl w:val="0"/>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Teaching                                                                                                   </w:t>
      </w:r>
      <w:r>
        <w:rPr>
          <w:rFonts w:eastAsia="Times New Roman" w:cstheme="minorHAnsi"/>
          <w:color w:val="000000"/>
          <w:sz w:val="24"/>
          <w:szCs w:val="24"/>
        </w:rPr>
        <w:tab/>
      </w:r>
      <w:r>
        <w:rPr>
          <w:rFonts w:eastAsia="Times New Roman" w:cstheme="minorHAnsi"/>
          <w:color w:val="000000"/>
          <w:sz w:val="24"/>
          <w:szCs w:val="24"/>
        </w:rPr>
        <w:tab/>
      </w:r>
      <w:r w:rsidRPr="00C71D22">
        <w:rPr>
          <w:rFonts w:eastAsia="Times New Roman" w:cstheme="minorHAnsi"/>
          <w:color w:val="000000"/>
          <w:sz w:val="24"/>
          <w:szCs w:val="24"/>
        </w:rPr>
        <w:t>50</w:t>
      </w:r>
    </w:p>
    <w:p w14:paraId="3A80FFDA" w14:textId="77777777" w:rsidR="00C71D22" w:rsidRPr="00C71D22" w:rsidRDefault="00C71D22" w:rsidP="00C71D22">
      <w:pPr>
        <w:numPr>
          <w:ilvl w:val="1"/>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Plan</w:t>
      </w:r>
    </w:p>
    <w:p w14:paraId="01E41BAD" w14:textId="77777777" w:rsidR="00C71D22" w:rsidRPr="00C71D22" w:rsidRDefault="00C71D22" w:rsidP="00C71D22">
      <w:pPr>
        <w:numPr>
          <w:ilvl w:val="1"/>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Engagement of students – Active learning</w:t>
      </w:r>
    </w:p>
    <w:p w14:paraId="27066848" w14:textId="77777777" w:rsidR="00C71D22" w:rsidRPr="00C71D22" w:rsidRDefault="00C71D22" w:rsidP="00C71D22">
      <w:pPr>
        <w:numPr>
          <w:ilvl w:val="1"/>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Covered essential elements</w:t>
      </w:r>
    </w:p>
    <w:p w14:paraId="3BDB60FC" w14:textId="77777777" w:rsidR="00C71D22" w:rsidRPr="00C71D22" w:rsidRDefault="00C71D22" w:rsidP="00C71D22">
      <w:pPr>
        <w:numPr>
          <w:ilvl w:val="1"/>
          <w:numId w:val="5"/>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Assessment of learning</w:t>
      </w:r>
    </w:p>
    <w:p w14:paraId="131C4576" w14:textId="77777777" w:rsidR="00C71D22" w:rsidRPr="00C71D22" w:rsidRDefault="00C71D22" w:rsidP="00C71D22">
      <w:p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b/>
          <w:bCs/>
          <w:color w:val="000000"/>
          <w:sz w:val="24"/>
          <w:szCs w:val="24"/>
        </w:rPr>
        <w:t>Genius Hour                                                                                                     200</w:t>
      </w:r>
    </w:p>
    <w:p w14:paraId="3EA17E35" w14:textId="2C61C1E9"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Brainstorm topics of interest (listed)                                                                </w:t>
      </w:r>
      <w:r w:rsidR="00C93961">
        <w:rPr>
          <w:rFonts w:eastAsia="Times New Roman" w:cstheme="minorHAnsi"/>
          <w:color w:val="000000"/>
          <w:sz w:val="24"/>
          <w:szCs w:val="24"/>
        </w:rPr>
        <w:tab/>
      </w:r>
      <w:r w:rsidRPr="00C71D22">
        <w:rPr>
          <w:rFonts w:eastAsia="Times New Roman" w:cstheme="minorHAnsi"/>
          <w:color w:val="000000"/>
          <w:sz w:val="24"/>
          <w:szCs w:val="24"/>
        </w:rPr>
        <w:t>5</w:t>
      </w:r>
    </w:p>
    <w:p w14:paraId="547395E3" w14:textId="615890B3"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Create a Mind Map (individual)                                                                 </w:t>
      </w:r>
      <w:r>
        <w:rPr>
          <w:rFonts w:eastAsia="Times New Roman" w:cstheme="minorHAnsi"/>
          <w:color w:val="000000"/>
          <w:sz w:val="24"/>
          <w:szCs w:val="24"/>
        </w:rPr>
        <w:tab/>
      </w:r>
      <w:r w:rsidRPr="00C71D22">
        <w:rPr>
          <w:rFonts w:eastAsia="Times New Roman" w:cstheme="minorHAnsi"/>
          <w:color w:val="000000"/>
          <w:sz w:val="24"/>
          <w:szCs w:val="24"/>
        </w:rPr>
        <w:t>10</w:t>
      </w:r>
    </w:p>
    <w:p w14:paraId="714A0F1C" w14:textId="45B133AA"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Choose topic to investigate and construct driving question (individual)    </w:t>
      </w:r>
      <w:r>
        <w:rPr>
          <w:rFonts w:eastAsia="Times New Roman" w:cstheme="minorHAnsi"/>
          <w:color w:val="000000"/>
          <w:sz w:val="24"/>
          <w:szCs w:val="24"/>
        </w:rPr>
        <w:tab/>
      </w:r>
      <w:r w:rsidRPr="00C71D22">
        <w:rPr>
          <w:rFonts w:eastAsia="Times New Roman" w:cstheme="minorHAnsi"/>
          <w:color w:val="000000"/>
          <w:sz w:val="24"/>
          <w:szCs w:val="24"/>
        </w:rPr>
        <w:t>5</w:t>
      </w:r>
    </w:p>
    <w:p w14:paraId="4132A9B8" w14:textId="3058894D"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Create Team Contract and Task Sheet (Group)                                        </w:t>
      </w:r>
      <w:r>
        <w:rPr>
          <w:rFonts w:eastAsia="Times New Roman" w:cstheme="minorHAnsi"/>
          <w:color w:val="000000"/>
          <w:sz w:val="24"/>
          <w:szCs w:val="24"/>
        </w:rPr>
        <w:tab/>
      </w:r>
      <w:r w:rsidRPr="00C71D22">
        <w:rPr>
          <w:rFonts w:eastAsia="Times New Roman" w:cstheme="minorHAnsi"/>
          <w:color w:val="000000"/>
          <w:sz w:val="24"/>
          <w:szCs w:val="24"/>
        </w:rPr>
        <w:t>20</w:t>
      </w:r>
    </w:p>
    <w:p w14:paraId="4FA5DE1F"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Development -  10</w:t>
      </w:r>
    </w:p>
    <w:p w14:paraId="294722C8"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End of the semester - 10</w:t>
      </w:r>
    </w:p>
    <w:p w14:paraId="290E0C21" w14:textId="4F982238"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Draft a Group Driving Question from mutually agreed upon topic              </w:t>
      </w:r>
      <w:r>
        <w:rPr>
          <w:rFonts w:eastAsia="Times New Roman" w:cstheme="minorHAnsi"/>
          <w:color w:val="000000"/>
          <w:sz w:val="24"/>
          <w:szCs w:val="24"/>
        </w:rPr>
        <w:tab/>
      </w:r>
      <w:r w:rsidRPr="00C71D22">
        <w:rPr>
          <w:rFonts w:eastAsia="Times New Roman" w:cstheme="minorHAnsi"/>
          <w:color w:val="000000"/>
          <w:sz w:val="24"/>
          <w:szCs w:val="24"/>
        </w:rPr>
        <w:t>5</w:t>
      </w:r>
    </w:p>
    <w:p w14:paraId="1AF40DAE" w14:textId="1A65909E"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Presentation / justification to group on driving question (Group)              </w:t>
      </w:r>
      <w:r>
        <w:rPr>
          <w:rFonts w:eastAsia="Times New Roman" w:cstheme="minorHAnsi"/>
          <w:color w:val="000000"/>
          <w:sz w:val="24"/>
          <w:szCs w:val="24"/>
        </w:rPr>
        <w:tab/>
      </w:r>
      <w:r w:rsidRPr="00C71D22">
        <w:rPr>
          <w:rFonts w:eastAsia="Times New Roman" w:cstheme="minorHAnsi"/>
          <w:color w:val="000000"/>
          <w:sz w:val="24"/>
          <w:szCs w:val="24"/>
        </w:rPr>
        <w:t>10</w:t>
      </w:r>
    </w:p>
    <w:p w14:paraId="1FBD8ED3" w14:textId="4569C1CF"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 Draft team proposal about topic investigation                                          </w:t>
      </w:r>
      <w:r>
        <w:rPr>
          <w:rFonts w:eastAsia="Times New Roman" w:cstheme="minorHAnsi"/>
          <w:color w:val="000000"/>
          <w:sz w:val="24"/>
          <w:szCs w:val="24"/>
        </w:rPr>
        <w:tab/>
      </w:r>
      <w:r w:rsidRPr="00C71D22">
        <w:rPr>
          <w:rFonts w:eastAsia="Times New Roman" w:cstheme="minorHAnsi"/>
          <w:color w:val="000000"/>
          <w:sz w:val="24"/>
          <w:szCs w:val="24"/>
        </w:rPr>
        <w:t>30</w:t>
      </w:r>
    </w:p>
    <w:p w14:paraId="461CFA7C"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Presentation (15)</w:t>
      </w:r>
    </w:p>
    <w:p w14:paraId="60C24BF9"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Written (15)</w:t>
      </w:r>
    </w:p>
    <w:p w14:paraId="18E98300" w14:textId="053CF5D3"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Revisit draft proposal and driving question post updates                          </w:t>
      </w:r>
      <w:r>
        <w:rPr>
          <w:rFonts w:eastAsia="Times New Roman" w:cstheme="minorHAnsi"/>
          <w:color w:val="000000"/>
          <w:sz w:val="24"/>
          <w:szCs w:val="24"/>
        </w:rPr>
        <w:tab/>
      </w:r>
      <w:r w:rsidRPr="00C71D22">
        <w:rPr>
          <w:rFonts w:eastAsia="Times New Roman" w:cstheme="minorHAnsi"/>
          <w:color w:val="000000"/>
          <w:sz w:val="24"/>
          <w:szCs w:val="24"/>
        </w:rPr>
        <w:t>10</w:t>
      </w:r>
    </w:p>
    <w:p w14:paraId="51534DEC" w14:textId="756B7DCC"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Final Genius Hour                                                                                      </w:t>
      </w:r>
      <w:r>
        <w:rPr>
          <w:rFonts w:eastAsia="Times New Roman" w:cstheme="minorHAnsi"/>
          <w:color w:val="000000"/>
          <w:sz w:val="24"/>
          <w:szCs w:val="24"/>
        </w:rPr>
        <w:tab/>
      </w:r>
      <w:r>
        <w:rPr>
          <w:rFonts w:eastAsia="Times New Roman" w:cstheme="minorHAnsi"/>
          <w:color w:val="000000"/>
          <w:sz w:val="24"/>
          <w:szCs w:val="24"/>
        </w:rPr>
        <w:tab/>
      </w:r>
      <w:r w:rsidRPr="00C71D22">
        <w:rPr>
          <w:rFonts w:eastAsia="Times New Roman" w:cstheme="minorHAnsi"/>
          <w:color w:val="000000"/>
          <w:sz w:val="24"/>
          <w:szCs w:val="24"/>
        </w:rPr>
        <w:t>50</w:t>
      </w:r>
    </w:p>
    <w:p w14:paraId="03E1360C"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Presentation and product review - 30</w:t>
      </w:r>
    </w:p>
    <w:p w14:paraId="71E31FA1"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Written Final Proposal - 20                       </w:t>
      </w:r>
    </w:p>
    <w:p w14:paraId="31416950" w14:textId="5F8FD0E6"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 xml:space="preserve">Assessment of team members                                                                  </w:t>
      </w:r>
      <w:r>
        <w:rPr>
          <w:rFonts w:eastAsia="Times New Roman" w:cstheme="minorHAnsi"/>
          <w:color w:val="000000"/>
          <w:sz w:val="24"/>
          <w:szCs w:val="24"/>
        </w:rPr>
        <w:tab/>
      </w:r>
      <w:r w:rsidRPr="00C71D22">
        <w:rPr>
          <w:rFonts w:eastAsia="Times New Roman" w:cstheme="minorHAnsi"/>
          <w:color w:val="000000"/>
          <w:sz w:val="24"/>
          <w:szCs w:val="24"/>
        </w:rPr>
        <w:t>30</w:t>
      </w:r>
    </w:p>
    <w:p w14:paraId="3571E56D"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Mid Term - 15 </w:t>
      </w:r>
    </w:p>
    <w:p w14:paraId="6D7B4563"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End of Course - 15</w:t>
      </w:r>
    </w:p>
    <w:p w14:paraId="2D21C90C" w14:textId="2B4DE24B" w:rsidR="00C71D22" w:rsidRPr="00C71D22" w:rsidRDefault="00C71D22" w:rsidP="00C71D22">
      <w:pPr>
        <w:numPr>
          <w:ilvl w:val="0"/>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Providing feedback to other groups (Scores &amp; written comments)           </w:t>
      </w:r>
      <w:r>
        <w:rPr>
          <w:rFonts w:eastAsia="Times New Roman" w:cstheme="minorHAnsi"/>
          <w:color w:val="000000"/>
          <w:sz w:val="24"/>
          <w:szCs w:val="24"/>
        </w:rPr>
        <w:tab/>
      </w:r>
      <w:r w:rsidRPr="00C71D22">
        <w:rPr>
          <w:rFonts w:eastAsia="Times New Roman" w:cstheme="minorHAnsi"/>
          <w:color w:val="000000"/>
          <w:sz w:val="24"/>
          <w:szCs w:val="24"/>
        </w:rPr>
        <w:t>25</w:t>
      </w:r>
    </w:p>
    <w:p w14:paraId="042AA25C"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Driving Question - 5</w:t>
      </w:r>
    </w:p>
    <w:p w14:paraId="72A36475" w14:textId="77777777" w:rsidR="00C71D22" w:rsidRPr="00C71D22" w:rsidRDefault="00C71D22" w:rsidP="00C71D22">
      <w:pPr>
        <w:numPr>
          <w:ilvl w:val="1"/>
          <w:numId w:val="6"/>
        </w:numPr>
        <w:spacing w:before="100" w:beforeAutospacing="1" w:after="100" w:afterAutospacing="1" w:line="240" w:lineRule="auto"/>
        <w:rPr>
          <w:rFonts w:eastAsia="Times New Roman" w:cstheme="minorHAnsi"/>
          <w:color w:val="000000"/>
          <w:sz w:val="24"/>
          <w:szCs w:val="24"/>
        </w:rPr>
      </w:pPr>
      <w:r w:rsidRPr="00C71D22">
        <w:rPr>
          <w:rFonts w:eastAsia="Times New Roman" w:cstheme="minorHAnsi"/>
          <w:color w:val="000000"/>
          <w:sz w:val="24"/>
          <w:szCs w:val="24"/>
        </w:rPr>
        <w:t>Draft Proposal - 10</w:t>
      </w:r>
    </w:p>
    <w:p w14:paraId="0D1FBD01" w14:textId="7837564C" w:rsidR="00C71D22" w:rsidRPr="00C71D22" w:rsidRDefault="00C71D22" w:rsidP="009B7742">
      <w:pPr>
        <w:numPr>
          <w:ilvl w:val="1"/>
          <w:numId w:val="6"/>
        </w:numPr>
        <w:spacing w:before="100" w:beforeAutospacing="1" w:after="100" w:afterAutospacing="1" w:line="240" w:lineRule="auto"/>
        <w:rPr>
          <w:rFonts w:cstheme="minorHAnsi"/>
          <w:sz w:val="24"/>
          <w:szCs w:val="24"/>
        </w:rPr>
      </w:pPr>
      <w:r w:rsidRPr="00C71D22">
        <w:rPr>
          <w:rFonts w:eastAsia="Times New Roman" w:cstheme="minorHAnsi"/>
          <w:color w:val="000000"/>
          <w:sz w:val="24"/>
          <w:szCs w:val="24"/>
        </w:rPr>
        <w:t>Final Presentation -10</w:t>
      </w:r>
    </w:p>
    <w:sectPr w:rsidR="00C71D22" w:rsidRPr="00C7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4C5C"/>
    <w:multiLevelType w:val="multilevel"/>
    <w:tmpl w:val="3FDEB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4626F"/>
    <w:multiLevelType w:val="multilevel"/>
    <w:tmpl w:val="ED325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248FC"/>
    <w:multiLevelType w:val="hybridMultilevel"/>
    <w:tmpl w:val="603C5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E80154"/>
    <w:multiLevelType w:val="multilevel"/>
    <w:tmpl w:val="1EF06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54CB3"/>
    <w:multiLevelType w:val="multilevel"/>
    <w:tmpl w:val="682E2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AE0A29"/>
    <w:multiLevelType w:val="multilevel"/>
    <w:tmpl w:val="DF44C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22"/>
    <w:rsid w:val="00086098"/>
    <w:rsid w:val="001760A1"/>
    <w:rsid w:val="003D1043"/>
    <w:rsid w:val="00456023"/>
    <w:rsid w:val="00A32B40"/>
    <w:rsid w:val="00B65743"/>
    <w:rsid w:val="00C71D22"/>
    <w:rsid w:val="00C93961"/>
    <w:rsid w:val="00D8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E79D"/>
  <w15:chartTrackingRefBased/>
  <w15:docId w15:val="{703F00D6-397D-4F00-9942-F98DEBEF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D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1D22"/>
    <w:rPr>
      <w:i/>
      <w:iCs/>
    </w:rPr>
  </w:style>
  <w:style w:type="character" w:styleId="Strong">
    <w:name w:val="Strong"/>
    <w:basedOn w:val="DefaultParagraphFont"/>
    <w:uiPriority w:val="22"/>
    <w:qFormat/>
    <w:rsid w:val="00C71D22"/>
    <w:rPr>
      <w:b/>
      <w:bCs/>
    </w:rPr>
  </w:style>
  <w:style w:type="character" w:styleId="Hyperlink">
    <w:name w:val="Hyperlink"/>
    <w:basedOn w:val="DefaultParagraphFont"/>
    <w:uiPriority w:val="99"/>
    <w:semiHidden/>
    <w:unhideWhenUsed/>
    <w:rsid w:val="00C71D22"/>
    <w:rPr>
      <w:color w:val="0000FF"/>
      <w:u w:val="single"/>
    </w:rPr>
  </w:style>
  <w:style w:type="paragraph" w:styleId="ListParagraph">
    <w:name w:val="List Paragraph"/>
    <w:basedOn w:val="Normal"/>
    <w:uiPriority w:val="34"/>
    <w:qFormat/>
    <w:rsid w:val="00C71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28247">
      <w:bodyDiv w:val="1"/>
      <w:marLeft w:val="0"/>
      <w:marRight w:val="0"/>
      <w:marTop w:val="0"/>
      <w:marBottom w:val="0"/>
      <w:divBdr>
        <w:top w:val="none" w:sz="0" w:space="0" w:color="auto"/>
        <w:left w:val="none" w:sz="0" w:space="0" w:color="auto"/>
        <w:bottom w:val="none" w:sz="0" w:space="0" w:color="auto"/>
        <w:right w:val="none" w:sz="0" w:space="0" w:color="auto"/>
      </w:divBdr>
    </w:div>
    <w:div w:id="1399674512">
      <w:bodyDiv w:val="1"/>
      <w:marLeft w:val="0"/>
      <w:marRight w:val="0"/>
      <w:marTop w:val="0"/>
      <w:marBottom w:val="0"/>
      <w:divBdr>
        <w:top w:val="none" w:sz="0" w:space="0" w:color="auto"/>
        <w:left w:val="none" w:sz="0" w:space="0" w:color="auto"/>
        <w:bottom w:val="none" w:sz="0" w:space="0" w:color="auto"/>
        <w:right w:val="none" w:sz="0" w:space="0" w:color="auto"/>
      </w:divBdr>
    </w:div>
    <w:div w:id="1400635811">
      <w:bodyDiv w:val="1"/>
      <w:marLeft w:val="0"/>
      <w:marRight w:val="0"/>
      <w:marTop w:val="0"/>
      <w:marBottom w:val="0"/>
      <w:divBdr>
        <w:top w:val="none" w:sz="0" w:space="0" w:color="auto"/>
        <w:left w:val="none" w:sz="0" w:space="0" w:color="auto"/>
        <w:bottom w:val="none" w:sz="0" w:space="0" w:color="auto"/>
        <w:right w:val="none" w:sz="0" w:space="0" w:color="auto"/>
      </w:divBdr>
    </w:div>
    <w:div w:id="1738279765">
      <w:bodyDiv w:val="1"/>
      <w:marLeft w:val="0"/>
      <w:marRight w:val="0"/>
      <w:marTop w:val="0"/>
      <w:marBottom w:val="0"/>
      <w:divBdr>
        <w:top w:val="none" w:sz="0" w:space="0" w:color="auto"/>
        <w:left w:val="none" w:sz="0" w:space="0" w:color="auto"/>
        <w:bottom w:val="none" w:sz="0" w:space="0" w:color="auto"/>
        <w:right w:val="none" w:sz="0" w:space="0" w:color="auto"/>
      </w:divBdr>
    </w:div>
    <w:div w:id="19748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astyle.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420</Number>
    <Section xmlns="409cf07c-705a-4568-bc2e-e1a7cd36a2d3" xsi:nil="true"/>
    <Calendar_x0020_Year xmlns="409cf07c-705a-4568-bc2e-e1a7cd36a2d3">2021</Calendar_x0020_Year>
    <Course_x0020_Name xmlns="409cf07c-705a-4568-bc2e-e1a7cd36a2d3">Health Promotion Management </Course_x0020_Name>
    <Instructor xmlns="409cf07c-705a-4568-bc2e-e1a7cd36a2d3">Sallie Scovill</Instructor>
    <Pre xmlns="409cf07c-705a-4568-bc2e-e1a7cd36a2d3">53</Pre>
  </documentManagement>
</p:properties>
</file>

<file path=customXml/itemProps1.xml><?xml version="1.0" encoding="utf-8"?>
<ds:datastoreItem xmlns:ds="http://schemas.openxmlformats.org/officeDocument/2006/customXml" ds:itemID="{084EF5CE-CE79-4339-9A81-8776ABA65C1C}"/>
</file>

<file path=customXml/itemProps2.xml><?xml version="1.0" encoding="utf-8"?>
<ds:datastoreItem xmlns:ds="http://schemas.openxmlformats.org/officeDocument/2006/customXml" ds:itemID="{905D11CB-420D-43E6-89D8-FC35FC96ED9F}"/>
</file>

<file path=customXml/itemProps3.xml><?xml version="1.0" encoding="utf-8"?>
<ds:datastoreItem xmlns:ds="http://schemas.openxmlformats.org/officeDocument/2006/customXml" ds:itemID="{D02C6B9D-7F29-4C73-9E6E-67FDFE12C014}"/>
</file>

<file path=docProps/app.xml><?xml version="1.0" encoding="utf-8"?>
<Properties xmlns="http://schemas.openxmlformats.org/officeDocument/2006/extended-properties" xmlns:vt="http://schemas.openxmlformats.org/officeDocument/2006/docPropsVTypes">
  <Template>Normal</Template>
  <TotalTime>14</TotalTime>
  <Pages>5</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 Sallie</dc:creator>
  <cp:keywords/>
  <dc:description/>
  <cp:lastModifiedBy>Scovill, Sallie</cp:lastModifiedBy>
  <cp:revision>4</cp:revision>
  <dcterms:created xsi:type="dcterms:W3CDTF">2018-09-27T18:53:00Z</dcterms:created>
  <dcterms:modified xsi:type="dcterms:W3CDTF">2018-09-27T19:07:00Z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