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FACE6" w14:textId="070C6C3F" w:rsidR="00F46544" w:rsidRPr="00BA50A7" w:rsidRDefault="00F023BA" w:rsidP="00F46544">
      <w:pPr>
        <w:jc w:val="center"/>
        <w:rPr>
          <w:rFonts w:ascii="Times" w:hAnsi="Times"/>
          <w:b/>
          <w:color w:val="000000" w:themeColor="text1"/>
          <w:szCs w:val="24"/>
          <w:u w:val="single"/>
        </w:rPr>
      </w:pPr>
      <w:r w:rsidRPr="00BA50A7">
        <w:rPr>
          <w:rFonts w:ascii="Times" w:hAnsi="Times"/>
          <w:b/>
          <w:color w:val="000000" w:themeColor="text1"/>
          <w:szCs w:val="24"/>
          <w:u w:val="single"/>
        </w:rPr>
        <w:t xml:space="preserve">IBC </w:t>
      </w:r>
      <w:r w:rsidR="00F46544" w:rsidRPr="00BA50A7">
        <w:rPr>
          <w:rFonts w:ascii="Times" w:hAnsi="Times"/>
          <w:b/>
          <w:color w:val="000000" w:themeColor="text1"/>
          <w:szCs w:val="24"/>
          <w:u w:val="single"/>
        </w:rPr>
        <w:t>Standard Operating Procedures</w:t>
      </w:r>
    </w:p>
    <w:p w14:paraId="15515F6C" w14:textId="57E82B07" w:rsidR="00E678B9" w:rsidRPr="00BA50A7" w:rsidRDefault="00E678B9" w:rsidP="00F46544">
      <w:pPr>
        <w:pStyle w:val="NormalWeb"/>
        <w:rPr>
          <w:rFonts w:ascii="Times" w:hAnsi="Times"/>
          <w:b/>
          <w:color w:val="000000" w:themeColor="text1"/>
        </w:rPr>
      </w:pPr>
      <w:r w:rsidRPr="00BA50A7">
        <w:rPr>
          <w:rFonts w:ascii="Times" w:hAnsi="Times"/>
          <w:b/>
          <w:color w:val="000000" w:themeColor="text1"/>
        </w:rPr>
        <w:t>A. Activities Covered by the NIH Guidelines</w:t>
      </w:r>
    </w:p>
    <w:p w14:paraId="2019F7CB" w14:textId="710C2DC5" w:rsidR="007F4BED" w:rsidRPr="00BA50A7" w:rsidRDefault="00F023BA" w:rsidP="00F46544">
      <w:pPr>
        <w:pStyle w:val="NormalWeb"/>
        <w:rPr>
          <w:rFonts w:ascii="Times" w:hAnsi="Times"/>
          <w:color w:val="000000" w:themeColor="text1"/>
        </w:rPr>
      </w:pPr>
      <w:r w:rsidRPr="00BA50A7">
        <w:rPr>
          <w:rFonts w:ascii="Times" w:hAnsi="Times"/>
          <w:color w:val="000000" w:themeColor="text1"/>
        </w:rPr>
        <w:t>Certain r</w:t>
      </w:r>
      <w:r w:rsidR="00F46544" w:rsidRPr="00BA50A7">
        <w:rPr>
          <w:rFonts w:ascii="Times" w:hAnsi="Times"/>
          <w:color w:val="000000" w:themeColor="text1"/>
        </w:rPr>
        <w:t xml:space="preserve">esearch and educational activities undertaken at the University of Wisconsin-Stevens Point </w:t>
      </w:r>
      <w:r w:rsidRPr="00BA50A7">
        <w:rPr>
          <w:rFonts w:ascii="Times" w:hAnsi="Times"/>
          <w:color w:val="000000" w:themeColor="text1"/>
        </w:rPr>
        <w:t>require review by, and the approval of, the</w:t>
      </w:r>
      <w:r w:rsidR="00F46544" w:rsidRPr="00BA50A7">
        <w:rPr>
          <w:rFonts w:ascii="Times" w:hAnsi="Times"/>
          <w:color w:val="000000" w:themeColor="text1"/>
        </w:rPr>
        <w:t xml:space="preserve"> Institutional Biosafety Committee (IBC).</w:t>
      </w:r>
      <w:r w:rsidR="009D4B8E" w:rsidRPr="00BA50A7">
        <w:rPr>
          <w:rFonts w:ascii="Times" w:hAnsi="Times"/>
          <w:color w:val="000000" w:themeColor="text1"/>
        </w:rPr>
        <w:t xml:space="preserve"> </w:t>
      </w:r>
      <w:r w:rsidR="00F46544" w:rsidRPr="00BA50A7">
        <w:rPr>
          <w:rFonts w:ascii="Times" w:hAnsi="Times"/>
          <w:color w:val="000000" w:themeColor="text1"/>
        </w:rPr>
        <w:t>The IBC is charged under the </w:t>
      </w:r>
      <w:hyperlink r:id="rId8" w:history="1">
        <w:r w:rsidR="00F46544" w:rsidRPr="00BA50A7">
          <w:rPr>
            <w:rFonts w:ascii="Times" w:hAnsi="Times"/>
            <w:b/>
            <w:color w:val="000000" w:themeColor="text1"/>
          </w:rPr>
          <w:t xml:space="preserve">NIH </w:t>
        </w:r>
        <w:r w:rsidR="00A45173" w:rsidRPr="00BA50A7">
          <w:rPr>
            <w:rFonts w:ascii="Times" w:hAnsi="Times"/>
            <w:b/>
            <w:color w:val="000000" w:themeColor="text1"/>
          </w:rPr>
          <w:t>G</w:t>
        </w:r>
        <w:r w:rsidR="00F46544" w:rsidRPr="00BA50A7">
          <w:rPr>
            <w:rFonts w:ascii="Times" w:hAnsi="Times"/>
            <w:b/>
            <w:color w:val="000000" w:themeColor="text1"/>
          </w:rPr>
          <w:t>uidelines</w:t>
        </w:r>
      </w:hyperlink>
      <w:r w:rsidR="00F46544" w:rsidRPr="00BA50A7">
        <w:rPr>
          <w:rFonts w:ascii="Times" w:hAnsi="Times"/>
          <w:color w:val="000000" w:themeColor="text1"/>
        </w:rPr>
        <w:t> to review, approve, and oversee projects involving recombinant or synthetic nucleic acid (r/</w:t>
      </w:r>
      <w:proofErr w:type="spellStart"/>
      <w:r w:rsidR="00F46544" w:rsidRPr="00BA50A7">
        <w:rPr>
          <w:rFonts w:ascii="Times" w:hAnsi="Times"/>
          <w:color w:val="000000" w:themeColor="text1"/>
        </w:rPr>
        <w:t>sNA</w:t>
      </w:r>
      <w:proofErr w:type="spellEnd"/>
      <w:r w:rsidR="00F46544" w:rsidRPr="00BA50A7">
        <w:rPr>
          <w:rFonts w:ascii="Times" w:hAnsi="Times"/>
          <w:color w:val="000000" w:themeColor="text1"/>
        </w:rPr>
        <w:t>) molecules.</w:t>
      </w:r>
      <w:r w:rsidR="009D4B8E" w:rsidRPr="00BA50A7">
        <w:rPr>
          <w:rFonts w:ascii="Times" w:hAnsi="Times"/>
          <w:color w:val="000000" w:themeColor="text1"/>
        </w:rPr>
        <w:t xml:space="preserve"> </w:t>
      </w:r>
    </w:p>
    <w:p w14:paraId="0AC6BAFC" w14:textId="2EBCC683" w:rsidR="007F4BED" w:rsidRPr="00BA50A7" w:rsidRDefault="007F4BED" w:rsidP="00F46544">
      <w:pPr>
        <w:pStyle w:val="NormalWeb"/>
        <w:rPr>
          <w:rFonts w:ascii="Times" w:hAnsi="Times"/>
          <w:b/>
          <w:color w:val="000000" w:themeColor="text1"/>
        </w:rPr>
      </w:pPr>
      <w:r w:rsidRPr="00BA50A7">
        <w:rPr>
          <w:rFonts w:ascii="Times" w:hAnsi="Times"/>
          <w:b/>
          <w:color w:val="000000" w:themeColor="text1"/>
        </w:rPr>
        <w:t>It is the responsibility of the princip</w:t>
      </w:r>
      <w:r w:rsidR="00590A97" w:rsidRPr="00BA50A7">
        <w:rPr>
          <w:rFonts w:ascii="Times" w:hAnsi="Times"/>
          <w:b/>
          <w:color w:val="000000" w:themeColor="text1"/>
        </w:rPr>
        <w:t>al</w:t>
      </w:r>
      <w:r w:rsidRPr="00BA50A7">
        <w:rPr>
          <w:rFonts w:ascii="Times" w:hAnsi="Times"/>
          <w:b/>
          <w:color w:val="000000" w:themeColor="text1"/>
        </w:rPr>
        <w:t xml:space="preserve"> investigator (PI) or instructor of record to discern whether the activities which they direct are subject to the</w:t>
      </w:r>
      <w:r w:rsidR="00BF76CA" w:rsidRPr="00BA50A7">
        <w:rPr>
          <w:rFonts w:ascii="Times" w:hAnsi="Times"/>
          <w:b/>
          <w:color w:val="000000" w:themeColor="text1"/>
        </w:rPr>
        <w:t xml:space="preserve"> NIH Guidelines; specifically Appendix B–Classification of Human Etiological Agents on the Basis of Hazard.</w:t>
      </w:r>
    </w:p>
    <w:p w14:paraId="7BC47E7A" w14:textId="1C793970" w:rsidR="00F46544" w:rsidRPr="00BA50A7" w:rsidRDefault="007F4BED" w:rsidP="00F46544">
      <w:pPr>
        <w:pStyle w:val="NormalWeb"/>
        <w:rPr>
          <w:rFonts w:ascii="Times" w:hAnsi="Times"/>
          <w:color w:val="000000" w:themeColor="text1"/>
        </w:rPr>
      </w:pPr>
      <w:r w:rsidRPr="00BA50A7">
        <w:rPr>
          <w:rFonts w:ascii="Times" w:hAnsi="Times"/>
          <w:color w:val="000000" w:themeColor="text1"/>
        </w:rPr>
        <w:t>The NIH G</w:t>
      </w:r>
      <w:r w:rsidR="00F46544" w:rsidRPr="00BA50A7">
        <w:rPr>
          <w:rFonts w:ascii="Times" w:hAnsi="Times"/>
          <w:color w:val="000000" w:themeColor="text1"/>
        </w:rPr>
        <w:t xml:space="preserve">uidelines not only establish the requirement for an IBC but also </w:t>
      </w:r>
      <w:r w:rsidRPr="00BA50A7">
        <w:rPr>
          <w:rFonts w:ascii="Times" w:hAnsi="Times"/>
          <w:color w:val="000000" w:themeColor="text1"/>
        </w:rPr>
        <w:t xml:space="preserve">allow the </w:t>
      </w:r>
      <w:r w:rsidR="00F46544" w:rsidRPr="00BA50A7">
        <w:rPr>
          <w:rFonts w:ascii="Times" w:hAnsi="Times"/>
          <w:color w:val="000000" w:themeColor="text1"/>
        </w:rPr>
        <w:t>exten</w:t>
      </w:r>
      <w:r w:rsidRPr="00BA50A7">
        <w:rPr>
          <w:rFonts w:ascii="Times" w:hAnsi="Times"/>
          <w:color w:val="000000" w:themeColor="text1"/>
        </w:rPr>
        <w:t>sion of</w:t>
      </w:r>
      <w:r w:rsidR="00F46544" w:rsidRPr="00BA50A7">
        <w:rPr>
          <w:rFonts w:ascii="Times" w:hAnsi="Times"/>
          <w:color w:val="000000" w:themeColor="text1"/>
        </w:rPr>
        <w:t xml:space="preserve"> those responsibilities.</w:t>
      </w:r>
      <w:r w:rsidR="009D4B8E" w:rsidRPr="00BA50A7">
        <w:rPr>
          <w:rFonts w:ascii="Times" w:hAnsi="Times"/>
          <w:color w:val="000000" w:themeColor="text1"/>
        </w:rPr>
        <w:t xml:space="preserve"> </w:t>
      </w:r>
      <w:r w:rsidR="00F46544" w:rsidRPr="00BA50A7">
        <w:rPr>
          <w:rFonts w:ascii="Times" w:hAnsi="Times"/>
          <w:color w:val="000000" w:themeColor="text1"/>
        </w:rPr>
        <w:t>Oversight includes:</w:t>
      </w:r>
    </w:p>
    <w:p w14:paraId="3C34FEF0" w14:textId="0BBAB1B4" w:rsidR="00F46544" w:rsidRPr="00BA50A7" w:rsidRDefault="00F46544" w:rsidP="00F46544">
      <w:pPr>
        <w:pStyle w:val="ListParagraph"/>
        <w:numPr>
          <w:ilvl w:val="0"/>
          <w:numId w:val="2"/>
        </w:numPr>
        <w:spacing w:after="75" w:line="274" w:lineRule="atLeast"/>
        <w:rPr>
          <w:rFonts w:ascii="Times" w:hAnsi="Times" w:cs="Calibri"/>
          <w:color w:val="000000" w:themeColor="text1"/>
        </w:rPr>
      </w:pPr>
      <w:r w:rsidRPr="00BA50A7">
        <w:rPr>
          <w:rFonts w:ascii="Times" w:hAnsi="Times" w:cs="Calibri"/>
          <w:color w:val="000000" w:themeColor="text1"/>
        </w:rPr>
        <w:t>Recombinant and synthetic NA (and RNA) including purchase, creation</w:t>
      </w:r>
      <w:r w:rsidR="00A7762A" w:rsidRPr="00BA50A7">
        <w:rPr>
          <w:rFonts w:ascii="Times" w:hAnsi="Times" w:cs="Calibri"/>
          <w:color w:val="000000" w:themeColor="text1"/>
        </w:rPr>
        <w:t>,</w:t>
      </w:r>
      <w:r w:rsidRPr="00BA50A7">
        <w:rPr>
          <w:rFonts w:ascii="Times" w:hAnsi="Times" w:cs="Calibri"/>
          <w:color w:val="000000" w:themeColor="text1"/>
        </w:rPr>
        <w:t xml:space="preserve"> or use of transgenic plants and animals</w:t>
      </w:r>
      <w:r w:rsidR="00111FBF" w:rsidRPr="00BA50A7">
        <w:rPr>
          <w:rFonts w:ascii="Times" w:hAnsi="Times" w:cs="Calibri"/>
          <w:color w:val="000000" w:themeColor="text1"/>
        </w:rPr>
        <w:t>.</w:t>
      </w:r>
    </w:p>
    <w:p w14:paraId="58251753" w14:textId="4DF08431" w:rsidR="00F46544" w:rsidRPr="00BA50A7" w:rsidRDefault="00F46544" w:rsidP="00F46544">
      <w:pPr>
        <w:pStyle w:val="ListParagraph"/>
        <w:numPr>
          <w:ilvl w:val="0"/>
          <w:numId w:val="2"/>
        </w:numPr>
        <w:spacing w:after="75" w:line="274" w:lineRule="atLeast"/>
        <w:rPr>
          <w:rFonts w:ascii="Times" w:hAnsi="Times" w:cs="Calibri"/>
          <w:color w:val="000000" w:themeColor="text1"/>
        </w:rPr>
      </w:pPr>
      <w:r w:rsidRPr="00BA50A7">
        <w:rPr>
          <w:rFonts w:ascii="Times" w:hAnsi="Times" w:cs="Calibri"/>
          <w:color w:val="000000" w:themeColor="text1"/>
        </w:rPr>
        <w:t>Biohazardous agents</w:t>
      </w:r>
      <w:r w:rsidR="00591FFB" w:rsidRPr="00BA50A7">
        <w:rPr>
          <w:rFonts w:ascii="Times" w:hAnsi="Times" w:cs="Calibri"/>
          <w:color w:val="000000" w:themeColor="text1"/>
        </w:rPr>
        <w:t>, including bloodborne pathogens</w:t>
      </w:r>
      <w:r w:rsidRPr="00BA50A7">
        <w:rPr>
          <w:rFonts w:ascii="Times" w:hAnsi="Times" w:cs="Calibri"/>
          <w:color w:val="000000" w:themeColor="text1"/>
        </w:rPr>
        <w:t xml:space="preserve"> (e.g. bacteria, viruses, fungi, protozoa, prions</w:t>
      </w:r>
      <w:r w:rsidR="00A7762A" w:rsidRPr="00BA50A7">
        <w:rPr>
          <w:rFonts w:ascii="Times" w:hAnsi="Times" w:cs="Calibri"/>
          <w:color w:val="000000" w:themeColor="text1"/>
        </w:rPr>
        <w:t>,</w:t>
      </w:r>
      <w:r w:rsidR="008866EC" w:rsidRPr="00BA50A7">
        <w:rPr>
          <w:rFonts w:ascii="Times" w:hAnsi="Times" w:cs="Calibri"/>
          <w:color w:val="000000" w:themeColor="text1"/>
        </w:rPr>
        <w:t xml:space="preserve"> </w:t>
      </w:r>
      <w:r w:rsidR="002865D2" w:rsidRPr="00BA50A7">
        <w:rPr>
          <w:rFonts w:ascii="Times" w:hAnsi="Times" w:cs="Calibri"/>
          <w:color w:val="000000" w:themeColor="text1"/>
        </w:rPr>
        <w:t>see</w:t>
      </w:r>
      <w:r w:rsidR="008866EC" w:rsidRPr="00BA50A7">
        <w:rPr>
          <w:rFonts w:ascii="Times" w:hAnsi="Times" w:cs="Calibri"/>
          <w:color w:val="000000" w:themeColor="text1"/>
        </w:rPr>
        <w:t xml:space="preserve"> NIH guidelines Appendix B</w:t>
      </w:r>
      <w:r w:rsidR="00591FFB" w:rsidRPr="00BA50A7">
        <w:rPr>
          <w:rFonts w:ascii="Times" w:hAnsi="Times" w:cs="Calibri"/>
          <w:color w:val="000000" w:themeColor="text1"/>
        </w:rPr>
        <w:t xml:space="preserve"> and OSHA list of biological agents</w:t>
      </w:r>
      <w:r w:rsidRPr="00BA50A7">
        <w:rPr>
          <w:rFonts w:ascii="Times" w:hAnsi="Times" w:cs="Calibri"/>
          <w:color w:val="000000" w:themeColor="text1"/>
        </w:rPr>
        <w:t>)</w:t>
      </w:r>
      <w:r w:rsidR="00B511C7">
        <w:rPr>
          <w:rFonts w:ascii="Times" w:hAnsi="Times" w:cs="Calibri"/>
          <w:color w:val="000000" w:themeColor="text1"/>
        </w:rPr>
        <w:t xml:space="preserve"> </w:t>
      </w:r>
      <w:r w:rsidR="00B511C7" w:rsidRPr="00074082">
        <w:rPr>
          <w:rFonts w:ascii="Times" w:hAnsi="Times" w:cs="Calibri"/>
          <w:color w:val="000000" w:themeColor="text1"/>
        </w:rPr>
        <w:t>and biological materials carrying or suspected to carry these agents</w:t>
      </w:r>
      <w:r w:rsidR="00111FBF" w:rsidRPr="00074082">
        <w:rPr>
          <w:rFonts w:ascii="Times" w:hAnsi="Times" w:cs="Calibri"/>
          <w:color w:val="000000" w:themeColor="text1"/>
        </w:rPr>
        <w:t>.</w:t>
      </w:r>
    </w:p>
    <w:p w14:paraId="21FCB8B3" w14:textId="3FDE05E3" w:rsidR="00F46544" w:rsidRPr="00BA50A7" w:rsidRDefault="00F023BA" w:rsidP="00F46544">
      <w:pPr>
        <w:pStyle w:val="ListParagraph"/>
        <w:numPr>
          <w:ilvl w:val="0"/>
          <w:numId w:val="2"/>
        </w:numPr>
        <w:spacing w:after="75" w:line="274" w:lineRule="atLeast"/>
        <w:rPr>
          <w:rFonts w:ascii="Times" w:hAnsi="Times" w:cs="Calibri"/>
          <w:color w:val="000000" w:themeColor="text1"/>
        </w:rPr>
      </w:pPr>
      <w:r w:rsidRPr="00BA50A7">
        <w:rPr>
          <w:rFonts w:ascii="Times" w:hAnsi="Times" w:cs="Calibri"/>
          <w:color w:val="000000" w:themeColor="text1"/>
        </w:rPr>
        <w:t>H</w:t>
      </w:r>
      <w:r w:rsidR="00F46544" w:rsidRPr="00BA50A7">
        <w:rPr>
          <w:rFonts w:ascii="Times" w:hAnsi="Times" w:cs="Calibri"/>
          <w:color w:val="000000" w:themeColor="text1"/>
        </w:rPr>
        <w:t>uman and non-human primate source material (e.g. blood, body secretions and tissues, primary and established cell lines)</w:t>
      </w:r>
      <w:r w:rsidR="00111FBF" w:rsidRPr="00BA50A7">
        <w:rPr>
          <w:rFonts w:ascii="Times" w:hAnsi="Times" w:cs="Calibri"/>
          <w:color w:val="000000" w:themeColor="text1"/>
        </w:rPr>
        <w:t>.</w:t>
      </w:r>
    </w:p>
    <w:p w14:paraId="774673EE" w14:textId="4394B380" w:rsidR="00F46544" w:rsidRPr="00BA50A7" w:rsidRDefault="00F46544" w:rsidP="00F46544">
      <w:pPr>
        <w:pStyle w:val="ListParagraph"/>
        <w:numPr>
          <w:ilvl w:val="0"/>
          <w:numId w:val="2"/>
        </w:numPr>
        <w:spacing w:after="75" w:line="274" w:lineRule="atLeast"/>
        <w:rPr>
          <w:rFonts w:ascii="Times" w:hAnsi="Times" w:cs="Calibri"/>
          <w:color w:val="000000" w:themeColor="text1"/>
        </w:rPr>
      </w:pPr>
      <w:r w:rsidRPr="00BA50A7">
        <w:rPr>
          <w:rFonts w:ascii="Times" w:hAnsi="Times" w:cs="Calibri"/>
          <w:color w:val="000000" w:themeColor="text1"/>
        </w:rPr>
        <w:t xml:space="preserve">Select agents and </w:t>
      </w:r>
      <w:r w:rsidR="00F023BA" w:rsidRPr="00BA50A7">
        <w:rPr>
          <w:rFonts w:ascii="Times" w:hAnsi="Times" w:cs="Calibri"/>
          <w:color w:val="000000" w:themeColor="text1"/>
        </w:rPr>
        <w:t>b</w:t>
      </w:r>
      <w:r w:rsidRPr="00BA50A7">
        <w:rPr>
          <w:rFonts w:ascii="Times" w:hAnsi="Times" w:cs="Calibri"/>
          <w:color w:val="000000" w:themeColor="text1"/>
        </w:rPr>
        <w:t xml:space="preserve">iologically </w:t>
      </w:r>
      <w:r w:rsidR="00F023BA" w:rsidRPr="00BA50A7">
        <w:rPr>
          <w:rFonts w:ascii="Times" w:hAnsi="Times" w:cs="Calibri"/>
          <w:color w:val="000000" w:themeColor="text1"/>
        </w:rPr>
        <w:t>d</w:t>
      </w:r>
      <w:r w:rsidRPr="00BA50A7">
        <w:rPr>
          <w:rFonts w:ascii="Times" w:hAnsi="Times" w:cs="Calibri"/>
          <w:color w:val="000000" w:themeColor="text1"/>
        </w:rPr>
        <w:t xml:space="preserve">erived </w:t>
      </w:r>
      <w:r w:rsidR="00F023BA" w:rsidRPr="00BA50A7">
        <w:rPr>
          <w:rFonts w:ascii="Times" w:hAnsi="Times" w:cs="Calibri"/>
          <w:color w:val="000000" w:themeColor="text1"/>
        </w:rPr>
        <w:t>t</w:t>
      </w:r>
      <w:r w:rsidRPr="00BA50A7">
        <w:rPr>
          <w:rFonts w:ascii="Times" w:hAnsi="Times" w:cs="Calibri"/>
          <w:color w:val="000000" w:themeColor="text1"/>
        </w:rPr>
        <w:t xml:space="preserve">oxins (including strain and amounts exempted from the </w:t>
      </w:r>
      <w:r w:rsidR="00F023BA" w:rsidRPr="00BA50A7">
        <w:rPr>
          <w:rFonts w:ascii="Times" w:hAnsi="Times" w:cs="Calibri"/>
          <w:color w:val="000000" w:themeColor="text1"/>
        </w:rPr>
        <w:t>S</w:t>
      </w:r>
      <w:r w:rsidRPr="00BA50A7">
        <w:rPr>
          <w:rFonts w:ascii="Times" w:hAnsi="Times" w:cs="Calibri"/>
          <w:color w:val="000000" w:themeColor="text1"/>
        </w:rPr>
        <w:t xml:space="preserve">elect </w:t>
      </w:r>
      <w:r w:rsidR="00F023BA" w:rsidRPr="00BA50A7">
        <w:rPr>
          <w:rFonts w:ascii="Times" w:hAnsi="Times" w:cs="Calibri"/>
          <w:color w:val="000000" w:themeColor="text1"/>
        </w:rPr>
        <w:t>A</w:t>
      </w:r>
      <w:r w:rsidRPr="00BA50A7">
        <w:rPr>
          <w:rFonts w:ascii="Times" w:hAnsi="Times" w:cs="Calibri"/>
          <w:color w:val="000000" w:themeColor="text1"/>
        </w:rPr>
        <w:t>gent regulation</w:t>
      </w:r>
      <w:r w:rsidR="00F023BA" w:rsidRPr="00BA50A7">
        <w:rPr>
          <w:rFonts w:ascii="Times" w:hAnsi="Times" w:cs="Calibri"/>
          <w:color w:val="000000" w:themeColor="text1"/>
        </w:rPr>
        <w:t>s</w:t>
      </w:r>
      <w:r w:rsidRPr="00BA50A7">
        <w:rPr>
          <w:rFonts w:ascii="Times" w:hAnsi="Times" w:cs="Calibri"/>
          <w:color w:val="000000" w:themeColor="text1"/>
        </w:rPr>
        <w:t>)</w:t>
      </w:r>
      <w:r w:rsidR="00111FBF" w:rsidRPr="00BA50A7">
        <w:rPr>
          <w:rFonts w:ascii="Times" w:hAnsi="Times" w:cs="Calibri"/>
          <w:color w:val="000000" w:themeColor="text1"/>
        </w:rPr>
        <w:t>.</w:t>
      </w:r>
    </w:p>
    <w:p w14:paraId="64DA678C" w14:textId="058BCBC3" w:rsidR="00F46544" w:rsidRPr="00BA50A7" w:rsidRDefault="00F46544" w:rsidP="00F46544">
      <w:pPr>
        <w:pStyle w:val="ListParagraph"/>
        <w:numPr>
          <w:ilvl w:val="0"/>
          <w:numId w:val="2"/>
        </w:numPr>
        <w:spacing w:after="75" w:line="274" w:lineRule="atLeast"/>
        <w:rPr>
          <w:rFonts w:ascii="Times" w:hAnsi="Times" w:cs="Calibri"/>
          <w:color w:val="000000" w:themeColor="text1"/>
        </w:rPr>
      </w:pPr>
      <w:r w:rsidRPr="00BA50A7">
        <w:rPr>
          <w:rFonts w:ascii="Times" w:hAnsi="Times" w:cs="Calibri"/>
          <w:color w:val="000000" w:themeColor="text1"/>
        </w:rPr>
        <w:t>Any material requiring a CDC import license or a USDA permit.</w:t>
      </w:r>
    </w:p>
    <w:p w14:paraId="29C349E4" w14:textId="08F5F408" w:rsidR="00F46544" w:rsidRPr="00BA50A7" w:rsidRDefault="00F46544" w:rsidP="00F46544">
      <w:pPr>
        <w:spacing w:after="0" w:line="240" w:lineRule="auto"/>
        <w:rPr>
          <w:rFonts w:ascii="Times" w:eastAsia="Times New Roman" w:hAnsi="Times" w:cs="Calibri"/>
          <w:color w:val="000000" w:themeColor="text1"/>
          <w:szCs w:val="24"/>
        </w:rPr>
      </w:pPr>
      <w:r w:rsidRPr="00BA50A7">
        <w:rPr>
          <w:rFonts w:ascii="Times" w:eastAsia="Times New Roman" w:hAnsi="Times" w:cs="Calibri"/>
          <w:b/>
          <w:color w:val="000000" w:themeColor="text1"/>
          <w:szCs w:val="24"/>
        </w:rPr>
        <w:t xml:space="preserve">If research and/or teaching activities involve any of the above you </w:t>
      </w:r>
      <w:r w:rsidRPr="00EC12D1">
        <w:rPr>
          <w:rFonts w:ascii="Times" w:eastAsia="Times New Roman" w:hAnsi="Times" w:cs="Calibri"/>
          <w:b/>
          <w:color w:val="000000" w:themeColor="text1"/>
          <w:szCs w:val="24"/>
        </w:rPr>
        <w:t>are</w:t>
      </w:r>
      <w:r w:rsidRPr="00BA50A7">
        <w:rPr>
          <w:rFonts w:ascii="Times" w:eastAsia="Times New Roman" w:hAnsi="Times" w:cs="Calibri"/>
          <w:b/>
          <w:color w:val="000000" w:themeColor="text1"/>
          <w:szCs w:val="24"/>
        </w:rPr>
        <w:t xml:space="preserve"> required to submit a </w:t>
      </w:r>
      <w:r w:rsidR="004B24AB">
        <w:rPr>
          <w:rFonts w:ascii="Times" w:eastAsia="Times New Roman" w:hAnsi="Times" w:cs="Calibri"/>
          <w:b/>
          <w:color w:val="000000" w:themeColor="text1"/>
          <w:szCs w:val="24"/>
        </w:rPr>
        <w:t>B</w:t>
      </w:r>
      <w:r w:rsidR="00512E0B" w:rsidRPr="00BA50A7">
        <w:rPr>
          <w:rFonts w:ascii="Times" w:eastAsia="Times New Roman" w:hAnsi="Times" w:cs="Calibri"/>
          <w:b/>
          <w:color w:val="000000" w:themeColor="text1"/>
          <w:szCs w:val="24"/>
        </w:rPr>
        <w:t xml:space="preserve">iosafety </w:t>
      </w:r>
      <w:r w:rsidR="004B24AB">
        <w:rPr>
          <w:rFonts w:ascii="Times" w:eastAsia="Times New Roman" w:hAnsi="Times" w:cs="Calibri"/>
          <w:b/>
          <w:color w:val="000000" w:themeColor="text1"/>
          <w:szCs w:val="24"/>
        </w:rPr>
        <w:t>P</w:t>
      </w:r>
      <w:r w:rsidRPr="00BA50A7">
        <w:rPr>
          <w:rFonts w:ascii="Times" w:eastAsia="Times New Roman" w:hAnsi="Times" w:cs="Calibri"/>
          <w:b/>
          <w:color w:val="000000" w:themeColor="text1"/>
          <w:szCs w:val="24"/>
        </w:rPr>
        <w:t>rotocol</w:t>
      </w:r>
      <w:r w:rsidR="00512E0B" w:rsidRPr="00BA50A7">
        <w:rPr>
          <w:rFonts w:ascii="Times" w:eastAsia="Times New Roman" w:hAnsi="Times" w:cs="Calibri"/>
          <w:b/>
          <w:color w:val="000000" w:themeColor="text1"/>
          <w:szCs w:val="24"/>
        </w:rPr>
        <w:t xml:space="preserve"> </w:t>
      </w:r>
      <w:r w:rsidR="004B24AB">
        <w:rPr>
          <w:rFonts w:ascii="Times" w:eastAsia="Times New Roman" w:hAnsi="Times" w:cs="Calibri"/>
          <w:b/>
          <w:color w:val="000000" w:themeColor="text1"/>
          <w:szCs w:val="24"/>
        </w:rPr>
        <w:t>A</w:t>
      </w:r>
      <w:r w:rsidR="00512E0B" w:rsidRPr="00BA50A7">
        <w:rPr>
          <w:rFonts w:ascii="Times" w:eastAsia="Times New Roman" w:hAnsi="Times" w:cs="Calibri"/>
          <w:b/>
          <w:color w:val="000000" w:themeColor="text1"/>
          <w:szCs w:val="24"/>
        </w:rPr>
        <w:t>pplication</w:t>
      </w:r>
      <w:r w:rsidR="009D4B8E" w:rsidRPr="00BA50A7">
        <w:rPr>
          <w:rFonts w:ascii="Times" w:eastAsia="Times New Roman" w:hAnsi="Times" w:cs="Calibri"/>
          <w:b/>
          <w:color w:val="000000" w:themeColor="text1"/>
          <w:szCs w:val="24"/>
        </w:rPr>
        <w:t xml:space="preserve"> (BPA)</w:t>
      </w:r>
      <w:r w:rsidRPr="00BA50A7">
        <w:rPr>
          <w:rFonts w:ascii="Times" w:eastAsia="Times New Roman" w:hAnsi="Times" w:cs="Calibri"/>
          <w:b/>
          <w:color w:val="000000" w:themeColor="text1"/>
          <w:szCs w:val="24"/>
        </w:rPr>
        <w:t xml:space="preserve"> for IBC review</w:t>
      </w:r>
      <w:r w:rsidRPr="00BA50A7">
        <w:rPr>
          <w:rFonts w:ascii="Times" w:eastAsia="Times New Roman" w:hAnsi="Times" w:cs="Calibri"/>
          <w:color w:val="000000" w:themeColor="text1"/>
          <w:szCs w:val="24"/>
        </w:rPr>
        <w:t xml:space="preserve"> unless your research specifically falls under the following two categories:</w:t>
      </w:r>
    </w:p>
    <w:p w14:paraId="628A6EC6" w14:textId="77777777" w:rsidR="00F46544" w:rsidRPr="00BA50A7" w:rsidRDefault="00F46544" w:rsidP="00F46544">
      <w:pPr>
        <w:spacing w:after="0" w:line="240" w:lineRule="auto"/>
        <w:rPr>
          <w:rFonts w:ascii="Times" w:eastAsia="Times New Roman" w:hAnsi="Times" w:cs="Calibri"/>
          <w:color w:val="000000" w:themeColor="text1"/>
          <w:szCs w:val="24"/>
        </w:rPr>
      </w:pPr>
    </w:p>
    <w:p w14:paraId="43F6761C" w14:textId="1B97F0FF" w:rsidR="00F46544" w:rsidRPr="00BA50A7" w:rsidRDefault="00F46544" w:rsidP="001F11B8">
      <w:pPr>
        <w:numPr>
          <w:ilvl w:val="0"/>
          <w:numId w:val="1"/>
        </w:numPr>
        <w:spacing w:after="0" w:line="240" w:lineRule="auto"/>
        <w:ind w:left="810"/>
        <w:rPr>
          <w:rFonts w:ascii="Times" w:eastAsia="Times New Roman" w:hAnsi="Times" w:cs="Calibri"/>
          <w:color w:val="000000" w:themeColor="text1"/>
          <w:szCs w:val="24"/>
        </w:rPr>
      </w:pPr>
      <w:r w:rsidRPr="00BA50A7">
        <w:rPr>
          <w:rFonts w:ascii="Times" w:eastAsia="Times New Roman" w:hAnsi="Times" w:cs="Calibri"/>
          <w:color w:val="000000" w:themeColor="text1"/>
          <w:szCs w:val="24"/>
        </w:rPr>
        <w:t>The activities use only commercially available deregulated transgenic crops</w:t>
      </w:r>
      <w:r w:rsidR="00111FBF" w:rsidRPr="00BA50A7">
        <w:rPr>
          <w:rFonts w:ascii="Times" w:eastAsia="Times New Roman" w:hAnsi="Times" w:cs="Calibri"/>
          <w:color w:val="000000" w:themeColor="text1"/>
          <w:szCs w:val="24"/>
        </w:rPr>
        <w:t>.</w:t>
      </w:r>
    </w:p>
    <w:p w14:paraId="55D4EDAC" w14:textId="08338EF3" w:rsidR="00F46544" w:rsidRPr="00BA50A7" w:rsidRDefault="00F46544" w:rsidP="001F11B8">
      <w:pPr>
        <w:numPr>
          <w:ilvl w:val="0"/>
          <w:numId w:val="1"/>
        </w:numPr>
        <w:spacing w:after="0" w:line="240" w:lineRule="auto"/>
        <w:ind w:left="810"/>
        <w:rPr>
          <w:rFonts w:ascii="Times" w:eastAsia="Times New Roman" w:hAnsi="Times" w:cs="Calibri"/>
          <w:color w:val="000000" w:themeColor="text1"/>
          <w:szCs w:val="24"/>
        </w:rPr>
      </w:pPr>
      <w:r w:rsidRPr="00BA50A7">
        <w:rPr>
          <w:rFonts w:ascii="Times" w:eastAsia="Times New Roman" w:hAnsi="Times" w:cs="Calibri"/>
          <w:color w:val="000000" w:themeColor="text1"/>
          <w:szCs w:val="24"/>
        </w:rPr>
        <w:t>The activities involve only the </w:t>
      </w:r>
      <w:r w:rsidRPr="00BA50A7">
        <w:rPr>
          <w:rFonts w:ascii="Times" w:eastAsia="Times New Roman" w:hAnsi="Times" w:cs="Calibri"/>
          <w:i/>
          <w:iCs/>
          <w:color w:val="000000" w:themeColor="text1"/>
          <w:szCs w:val="24"/>
        </w:rPr>
        <w:t>in vitro</w:t>
      </w:r>
      <w:r w:rsidRPr="00BA50A7">
        <w:rPr>
          <w:rFonts w:ascii="Times" w:eastAsia="Times New Roman" w:hAnsi="Times" w:cs="Calibri"/>
          <w:color w:val="000000" w:themeColor="text1"/>
          <w:szCs w:val="24"/>
        </w:rPr>
        <w:t> use of nucleic acids (</w:t>
      </w:r>
      <w:r w:rsidRPr="00BA50A7">
        <w:rPr>
          <w:rFonts w:ascii="Times" w:eastAsia="Times New Roman" w:hAnsi="Times" w:cs="Calibri"/>
          <w:i/>
          <w:color w:val="000000" w:themeColor="text1"/>
          <w:szCs w:val="24"/>
        </w:rPr>
        <w:t>i.e.</w:t>
      </w:r>
      <w:r w:rsidRPr="00BA50A7">
        <w:rPr>
          <w:rFonts w:ascii="Times" w:eastAsia="Times New Roman" w:hAnsi="Times" w:cs="Calibri"/>
          <w:color w:val="000000" w:themeColor="text1"/>
          <w:szCs w:val="24"/>
        </w:rPr>
        <w:t>, PCR, synthetic double stranded RNA) and does not involve the cloning and propagation of recombinant DNA in cells. For clarification, nucleic acids that are not and cannot be replicated inside organisms, cells, or viruses are </w:t>
      </w:r>
      <w:r w:rsidRPr="00BA50A7">
        <w:rPr>
          <w:rFonts w:ascii="Times" w:eastAsia="Times New Roman" w:hAnsi="Times" w:cs="Calibri"/>
          <w:b/>
          <w:color w:val="000000" w:themeColor="text1"/>
          <w:szCs w:val="24"/>
        </w:rPr>
        <w:t>not considered</w:t>
      </w:r>
      <w:r w:rsidRPr="00BA50A7">
        <w:rPr>
          <w:rFonts w:ascii="Times" w:eastAsia="Times New Roman" w:hAnsi="Times" w:cs="Calibri"/>
          <w:color w:val="000000" w:themeColor="text1"/>
          <w:szCs w:val="24"/>
        </w:rPr>
        <w:t> </w:t>
      </w:r>
      <w:proofErr w:type="spellStart"/>
      <w:r w:rsidRPr="00BA50A7">
        <w:rPr>
          <w:rFonts w:ascii="Times" w:eastAsia="Times New Roman" w:hAnsi="Times" w:cs="Calibri"/>
          <w:color w:val="000000" w:themeColor="text1"/>
          <w:szCs w:val="24"/>
        </w:rPr>
        <w:t>recDNA</w:t>
      </w:r>
      <w:proofErr w:type="spellEnd"/>
      <w:r w:rsidRPr="00BA50A7">
        <w:rPr>
          <w:rFonts w:ascii="Times" w:eastAsia="Times New Roman" w:hAnsi="Times" w:cs="Calibri"/>
          <w:color w:val="000000" w:themeColor="text1"/>
          <w:szCs w:val="24"/>
        </w:rPr>
        <w:t xml:space="preserve">. Commonly encountered examples of synthetic DNA not considered to be </w:t>
      </w:r>
      <w:proofErr w:type="spellStart"/>
      <w:r w:rsidRPr="00BA50A7">
        <w:rPr>
          <w:rFonts w:ascii="Times" w:eastAsia="Times New Roman" w:hAnsi="Times" w:cs="Calibri"/>
          <w:color w:val="000000" w:themeColor="text1"/>
          <w:szCs w:val="24"/>
        </w:rPr>
        <w:t>recDNA</w:t>
      </w:r>
      <w:proofErr w:type="spellEnd"/>
      <w:r w:rsidRPr="00BA50A7">
        <w:rPr>
          <w:rFonts w:ascii="Times" w:eastAsia="Times New Roman" w:hAnsi="Times" w:cs="Calibri"/>
          <w:color w:val="000000" w:themeColor="text1"/>
          <w:szCs w:val="24"/>
        </w:rPr>
        <w:t xml:space="preserve"> include polymerase chain reaction (PCR) products, synthetic oligonucleotides/primers, and complementary DNA (cDNA) obtained by reverse transcription of RNA.</w:t>
      </w:r>
    </w:p>
    <w:p w14:paraId="32E008ED" w14:textId="0433E5A6" w:rsidR="00E678B9" w:rsidRPr="00BA50A7" w:rsidRDefault="00E678B9" w:rsidP="00E678B9">
      <w:pPr>
        <w:pStyle w:val="NormalWeb"/>
        <w:rPr>
          <w:rFonts w:ascii="Times" w:hAnsi="Times"/>
          <w:b/>
          <w:color w:val="000000" w:themeColor="text1"/>
        </w:rPr>
      </w:pPr>
      <w:r w:rsidRPr="00BA50A7">
        <w:rPr>
          <w:rFonts w:ascii="Times" w:hAnsi="Times"/>
          <w:b/>
          <w:color w:val="000000" w:themeColor="text1"/>
        </w:rPr>
        <w:t>B. Classification of Activity—Risk Assessment/</w:t>
      </w:r>
      <w:r w:rsidR="00512E0B" w:rsidRPr="00BA50A7">
        <w:rPr>
          <w:rFonts w:ascii="Times" w:hAnsi="Times"/>
          <w:b/>
          <w:color w:val="000000" w:themeColor="text1"/>
        </w:rPr>
        <w:t>Biosafety Protocol Application</w:t>
      </w:r>
    </w:p>
    <w:p w14:paraId="7A95ECB3" w14:textId="7417EF8F" w:rsidR="00E678B9" w:rsidRPr="00BA50A7" w:rsidRDefault="00E678B9" w:rsidP="00C65BA7">
      <w:pPr>
        <w:pStyle w:val="NormalWeb"/>
        <w:ind w:left="720" w:hanging="360"/>
        <w:rPr>
          <w:rFonts w:ascii="Times" w:hAnsi="Times"/>
        </w:rPr>
      </w:pPr>
      <w:r w:rsidRPr="00BA50A7">
        <w:rPr>
          <w:rFonts w:ascii="Times" w:hAnsi="Times"/>
        </w:rPr>
        <w:t>1</w:t>
      </w:r>
      <w:r w:rsidR="00C65BA7" w:rsidRPr="00BA50A7">
        <w:rPr>
          <w:rFonts w:ascii="Times" w:hAnsi="Times"/>
        </w:rPr>
        <w:t>.</w:t>
      </w:r>
      <w:r w:rsidRPr="00BA50A7">
        <w:rPr>
          <w:rFonts w:ascii="Times" w:hAnsi="Times"/>
          <w:b/>
        </w:rPr>
        <w:t xml:space="preserve"> </w:t>
      </w:r>
      <w:r w:rsidR="00C65BA7" w:rsidRPr="00BA50A7">
        <w:rPr>
          <w:rFonts w:ascii="Times" w:hAnsi="Times"/>
          <w:b/>
        </w:rPr>
        <w:tab/>
      </w:r>
      <w:r w:rsidRPr="00BA50A7">
        <w:rPr>
          <w:rFonts w:ascii="Times" w:hAnsi="Times"/>
          <w:b/>
        </w:rPr>
        <w:t xml:space="preserve">Risk </w:t>
      </w:r>
      <w:r w:rsidR="00655821" w:rsidRPr="00BA50A7">
        <w:rPr>
          <w:rFonts w:ascii="Times" w:hAnsi="Times"/>
          <w:b/>
        </w:rPr>
        <w:t>Assessment</w:t>
      </w:r>
      <w:r w:rsidR="00590A97" w:rsidRPr="00BA50A7">
        <w:rPr>
          <w:rFonts w:ascii="Times" w:hAnsi="Times"/>
          <w:b/>
        </w:rPr>
        <w:t>—</w:t>
      </w:r>
      <w:r w:rsidRPr="00BA50A7">
        <w:rPr>
          <w:rFonts w:ascii="Times" w:hAnsi="Times"/>
        </w:rPr>
        <w:t>If the PI</w:t>
      </w:r>
      <w:r w:rsidR="00EC12D1">
        <w:rPr>
          <w:rFonts w:ascii="Times" w:hAnsi="Times"/>
        </w:rPr>
        <w:t>/instructor</w:t>
      </w:r>
      <w:r w:rsidRPr="00BA50A7">
        <w:rPr>
          <w:rFonts w:ascii="Times" w:hAnsi="Times"/>
        </w:rPr>
        <w:t xml:space="preserve"> </w:t>
      </w:r>
      <w:r w:rsidR="004C79B2" w:rsidRPr="00074082">
        <w:rPr>
          <w:rFonts w:ascii="Times" w:hAnsi="Times"/>
        </w:rPr>
        <w:t>uses materials as described in 1-5 above</w:t>
      </w:r>
      <w:r w:rsidR="004C79B2">
        <w:rPr>
          <w:rFonts w:ascii="Times" w:hAnsi="Times"/>
        </w:rPr>
        <w:t xml:space="preserve">, </w:t>
      </w:r>
      <w:r w:rsidRPr="00BA50A7">
        <w:rPr>
          <w:rFonts w:ascii="Times" w:hAnsi="Times"/>
        </w:rPr>
        <w:t>the</w:t>
      </w:r>
      <w:r w:rsidR="00EC12D1">
        <w:rPr>
          <w:rFonts w:ascii="Times" w:hAnsi="Times"/>
        </w:rPr>
        <w:t>y</w:t>
      </w:r>
      <w:r w:rsidRPr="00BA50A7">
        <w:rPr>
          <w:rFonts w:ascii="Times" w:hAnsi="Times"/>
        </w:rPr>
        <w:t xml:space="preserve"> </w:t>
      </w:r>
      <w:r w:rsidR="00111FBF" w:rsidRPr="00BA50A7">
        <w:rPr>
          <w:rFonts w:ascii="Times" w:hAnsi="Times"/>
        </w:rPr>
        <w:t>must</w:t>
      </w:r>
      <w:r w:rsidRPr="00BA50A7">
        <w:rPr>
          <w:rFonts w:ascii="Times" w:hAnsi="Times"/>
        </w:rPr>
        <w:t xml:space="preserve"> </w:t>
      </w:r>
      <w:r w:rsidR="004C79B2" w:rsidRPr="00074082">
        <w:rPr>
          <w:rFonts w:ascii="Times" w:hAnsi="Times"/>
        </w:rPr>
        <w:t>perform</w:t>
      </w:r>
      <w:r w:rsidR="004C79B2">
        <w:rPr>
          <w:rFonts w:ascii="Times" w:hAnsi="Times"/>
        </w:rPr>
        <w:t xml:space="preserve"> </w:t>
      </w:r>
      <w:r w:rsidRPr="00BA50A7">
        <w:rPr>
          <w:rFonts w:ascii="Times" w:hAnsi="Times"/>
        </w:rPr>
        <w:t xml:space="preserve">an </w:t>
      </w:r>
      <w:r w:rsidRPr="00BA50A7">
        <w:rPr>
          <w:rFonts w:ascii="Times" w:hAnsi="Times"/>
          <w:b/>
        </w:rPr>
        <w:t>initial risk assessment</w:t>
      </w:r>
      <w:r w:rsidRPr="00BA50A7">
        <w:rPr>
          <w:rFonts w:ascii="Times" w:hAnsi="Times"/>
        </w:rPr>
        <w:t xml:space="preserve"> based on the Risk Group (RG) of </w:t>
      </w:r>
      <w:r w:rsidRPr="00EC12D1">
        <w:rPr>
          <w:rFonts w:ascii="Times" w:hAnsi="Times"/>
        </w:rPr>
        <w:t>agent</w:t>
      </w:r>
      <w:r w:rsidR="00EC12D1">
        <w:rPr>
          <w:rFonts w:ascii="Times" w:hAnsi="Times"/>
        </w:rPr>
        <w:t xml:space="preserve">s </w:t>
      </w:r>
      <w:r w:rsidR="00EC12D1" w:rsidRPr="00074082">
        <w:rPr>
          <w:rFonts w:ascii="Times" w:hAnsi="Times"/>
        </w:rPr>
        <w:t>associated with</w:t>
      </w:r>
      <w:r w:rsidRPr="00074082">
        <w:rPr>
          <w:rFonts w:ascii="Times" w:hAnsi="Times"/>
        </w:rPr>
        <w:t xml:space="preserve"> </w:t>
      </w:r>
      <w:r w:rsidR="00A3540C" w:rsidRPr="00074082">
        <w:rPr>
          <w:rFonts w:ascii="Times" w:hAnsi="Times"/>
        </w:rPr>
        <w:t>the materials used</w:t>
      </w:r>
      <w:r w:rsidR="00A3540C">
        <w:rPr>
          <w:rFonts w:ascii="Times" w:hAnsi="Times"/>
        </w:rPr>
        <w:t xml:space="preserve"> </w:t>
      </w:r>
      <w:r w:rsidRPr="00BA50A7">
        <w:rPr>
          <w:rFonts w:ascii="Times" w:hAnsi="Times"/>
        </w:rPr>
        <w:t xml:space="preserve">(see Appendix B, </w:t>
      </w:r>
      <w:r w:rsidRPr="00BA50A7">
        <w:rPr>
          <w:rFonts w:ascii="Times" w:hAnsi="Times"/>
          <w:iCs/>
        </w:rPr>
        <w:t>Classification of Human Etiologic Agents on the Basis of Hazard-NIH Guidelines</w:t>
      </w:r>
      <w:r w:rsidRPr="00BA50A7">
        <w:rPr>
          <w:rFonts w:ascii="Times" w:hAnsi="Times"/>
        </w:rPr>
        <w:t xml:space="preserve">). </w:t>
      </w:r>
    </w:p>
    <w:p w14:paraId="62DD72AE" w14:textId="433A3E0A" w:rsidR="00E678B9" w:rsidRPr="00BA50A7" w:rsidRDefault="00E678B9" w:rsidP="00A7762A">
      <w:pPr>
        <w:pStyle w:val="NormalWeb"/>
        <w:ind w:left="720"/>
        <w:rPr>
          <w:rFonts w:ascii="Times" w:hAnsi="Times"/>
        </w:rPr>
      </w:pPr>
      <w:r w:rsidRPr="00BA50A7">
        <w:rPr>
          <w:rFonts w:ascii="Times" w:hAnsi="Times"/>
        </w:rPr>
        <w:lastRenderedPageBreak/>
        <w:t xml:space="preserve">Agents are classified into four Risk Groups (RGs) according to their relative pathogenicity for healthy adult humans by the following </w:t>
      </w:r>
      <w:r w:rsidR="00111FBF" w:rsidRPr="00BA50A7">
        <w:rPr>
          <w:rFonts w:ascii="Times" w:hAnsi="Times"/>
        </w:rPr>
        <w:t xml:space="preserve">NIH </w:t>
      </w:r>
      <w:r w:rsidRPr="00BA50A7">
        <w:rPr>
          <w:rFonts w:ascii="Times" w:hAnsi="Times"/>
        </w:rPr>
        <w:t xml:space="preserve">criteria: </w:t>
      </w:r>
    </w:p>
    <w:p w14:paraId="6D5A74EC" w14:textId="439F7622" w:rsidR="007C4BC6" w:rsidRPr="00BA50A7" w:rsidRDefault="00E678B9" w:rsidP="007C4BC6">
      <w:pPr>
        <w:pStyle w:val="NormalWeb"/>
        <w:spacing w:before="0" w:beforeAutospacing="0" w:after="0" w:afterAutospacing="0"/>
        <w:ind w:left="1440"/>
        <w:rPr>
          <w:rFonts w:ascii="Times" w:hAnsi="Times"/>
        </w:rPr>
      </w:pPr>
      <w:r w:rsidRPr="00BA50A7">
        <w:rPr>
          <w:rFonts w:ascii="Times" w:hAnsi="Times"/>
        </w:rPr>
        <w:t xml:space="preserve">Risk Group 1 (RG1) agents are not associated with disease in healthy adult humans. </w:t>
      </w:r>
    </w:p>
    <w:p w14:paraId="5783DEA7" w14:textId="342F3D79" w:rsidR="007C4BC6" w:rsidRPr="00BA50A7" w:rsidRDefault="007C4BC6" w:rsidP="007C4BC6">
      <w:pPr>
        <w:pStyle w:val="NormalWeb"/>
        <w:numPr>
          <w:ilvl w:val="0"/>
          <w:numId w:val="13"/>
        </w:numPr>
        <w:spacing w:before="0" w:beforeAutospacing="0"/>
        <w:rPr>
          <w:rFonts w:ascii="Times" w:hAnsi="Times"/>
        </w:rPr>
      </w:pPr>
      <w:r w:rsidRPr="00BA50A7">
        <w:rPr>
          <w:rFonts w:ascii="Times" w:hAnsi="Times"/>
        </w:rPr>
        <w:t xml:space="preserve">If </w:t>
      </w:r>
      <w:proofErr w:type="spellStart"/>
      <w:r w:rsidRPr="00BA50A7">
        <w:rPr>
          <w:rFonts w:ascii="Times" w:hAnsi="Times"/>
        </w:rPr>
        <w:t>recDNA</w:t>
      </w:r>
      <w:proofErr w:type="spellEnd"/>
      <w:r w:rsidRPr="00BA50A7">
        <w:rPr>
          <w:rFonts w:ascii="Times" w:hAnsi="Times"/>
        </w:rPr>
        <w:t xml:space="preserve"> work is not being performed</w:t>
      </w:r>
      <w:r w:rsidR="00B511C7">
        <w:rPr>
          <w:rFonts w:ascii="Times" w:hAnsi="Times"/>
        </w:rPr>
        <w:t xml:space="preserve"> </w:t>
      </w:r>
      <w:r w:rsidR="00B511C7" w:rsidRPr="00074082">
        <w:rPr>
          <w:rFonts w:ascii="Times" w:hAnsi="Times"/>
        </w:rPr>
        <w:t xml:space="preserve">and </w:t>
      </w:r>
      <w:r w:rsidR="004C79B2" w:rsidRPr="00074082">
        <w:rPr>
          <w:rFonts w:ascii="Times" w:hAnsi="Times"/>
        </w:rPr>
        <w:t xml:space="preserve">the </w:t>
      </w:r>
      <w:r w:rsidR="00B511C7" w:rsidRPr="00074082">
        <w:rPr>
          <w:rFonts w:ascii="Times" w:hAnsi="Times"/>
        </w:rPr>
        <w:t>biological materials do not harbor RG2 or higher agents</w:t>
      </w:r>
      <w:r w:rsidRPr="00BA50A7">
        <w:rPr>
          <w:rFonts w:ascii="Times" w:hAnsi="Times"/>
        </w:rPr>
        <w:t xml:space="preserve">, </w:t>
      </w:r>
      <w:r w:rsidR="009D4B8E" w:rsidRPr="00BA50A7">
        <w:rPr>
          <w:rFonts w:ascii="Times" w:hAnsi="Times"/>
        </w:rPr>
        <w:t>a BPA is not</w:t>
      </w:r>
      <w:r w:rsidRPr="00BA50A7">
        <w:rPr>
          <w:rFonts w:ascii="Times" w:hAnsi="Times"/>
        </w:rPr>
        <w:t xml:space="preserve"> required</w:t>
      </w:r>
      <w:r w:rsidR="004C79B2">
        <w:rPr>
          <w:rFonts w:ascii="Times" w:hAnsi="Times"/>
        </w:rPr>
        <w:t>.</w:t>
      </w:r>
    </w:p>
    <w:p w14:paraId="46D66599" w14:textId="5F7ABA06" w:rsidR="007C4BC6" w:rsidRPr="00074082" w:rsidRDefault="007C4BC6" w:rsidP="007C4BC6">
      <w:pPr>
        <w:pStyle w:val="NormalWeb"/>
        <w:numPr>
          <w:ilvl w:val="0"/>
          <w:numId w:val="13"/>
        </w:numPr>
        <w:spacing w:before="0" w:beforeAutospacing="0"/>
        <w:rPr>
          <w:rFonts w:ascii="Times" w:hAnsi="Times"/>
        </w:rPr>
      </w:pPr>
      <w:r w:rsidRPr="00BA50A7">
        <w:rPr>
          <w:rFonts w:ascii="Times" w:hAnsi="Times"/>
        </w:rPr>
        <w:t xml:space="preserve">If </w:t>
      </w:r>
      <w:proofErr w:type="spellStart"/>
      <w:r w:rsidRPr="00BA50A7">
        <w:rPr>
          <w:rFonts w:ascii="Times" w:hAnsi="Times"/>
        </w:rPr>
        <w:t>recDNA</w:t>
      </w:r>
      <w:proofErr w:type="spellEnd"/>
      <w:r w:rsidRPr="00BA50A7">
        <w:rPr>
          <w:rFonts w:ascii="Times" w:hAnsi="Times"/>
        </w:rPr>
        <w:t xml:space="preserve"> work is being performed</w:t>
      </w:r>
      <w:r w:rsidR="004C79B2">
        <w:rPr>
          <w:rFonts w:ascii="Times" w:hAnsi="Times"/>
        </w:rPr>
        <w:t xml:space="preserve"> </w:t>
      </w:r>
      <w:r w:rsidR="004C79B2" w:rsidRPr="00074082">
        <w:rPr>
          <w:rFonts w:ascii="Times" w:hAnsi="Times"/>
        </w:rPr>
        <w:t>using RG1 agents</w:t>
      </w:r>
      <w:r w:rsidRPr="00074082">
        <w:rPr>
          <w:rFonts w:ascii="Times" w:hAnsi="Times"/>
        </w:rPr>
        <w:t>,</w:t>
      </w:r>
      <w:r w:rsidR="004C79B2" w:rsidRPr="00074082">
        <w:rPr>
          <w:rFonts w:ascii="Times" w:hAnsi="Times"/>
        </w:rPr>
        <w:t xml:space="preserve"> a BPA is required.</w:t>
      </w:r>
      <w:r w:rsidRPr="00074082">
        <w:rPr>
          <w:rFonts w:ascii="Times" w:hAnsi="Times"/>
        </w:rPr>
        <w:t xml:space="preserve"> </w:t>
      </w:r>
      <w:r w:rsidR="004C79B2" w:rsidRPr="00074082">
        <w:rPr>
          <w:rFonts w:ascii="Times" w:hAnsi="Times"/>
        </w:rPr>
        <w:t>P</w:t>
      </w:r>
      <w:r w:rsidRPr="00074082">
        <w:rPr>
          <w:rFonts w:ascii="Times" w:hAnsi="Times"/>
        </w:rPr>
        <w:t>roceed to #2 below</w:t>
      </w:r>
      <w:r w:rsidR="00591FFB" w:rsidRPr="00074082">
        <w:rPr>
          <w:rFonts w:ascii="Times" w:hAnsi="Times"/>
        </w:rPr>
        <w:t xml:space="preserve"> (Exempt Research)</w:t>
      </w:r>
      <w:r w:rsidRPr="00074082">
        <w:rPr>
          <w:rFonts w:ascii="Times" w:hAnsi="Times"/>
        </w:rPr>
        <w:t xml:space="preserve"> to determine</w:t>
      </w:r>
      <w:r w:rsidR="004C79B2" w:rsidRPr="00074082">
        <w:rPr>
          <w:rFonts w:ascii="Times" w:hAnsi="Times"/>
        </w:rPr>
        <w:t xml:space="preserve"> what type of</w:t>
      </w:r>
      <w:r w:rsidR="00512E0B" w:rsidRPr="00074082">
        <w:rPr>
          <w:rFonts w:ascii="Times" w:hAnsi="Times"/>
        </w:rPr>
        <w:t xml:space="preserve"> </w:t>
      </w:r>
      <w:r w:rsidR="001F1247" w:rsidRPr="00074082">
        <w:rPr>
          <w:rFonts w:ascii="Times" w:hAnsi="Times"/>
        </w:rPr>
        <w:t>BPA</w:t>
      </w:r>
      <w:r w:rsidRPr="00074082">
        <w:rPr>
          <w:rFonts w:ascii="Times" w:hAnsi="Times"/>
        </w:rPr>
        <w:t xml:space="preserve"> is required.</w:t>
      </w:r>
    </w:p>
    <w:p w14:paraId="38CF3922" w14:textId="143AD634" w:rsidR="007C4BC6" w:rsidRPr="00BA50A7" w:rsidRDefault="00E678B9" w:rsidP="007C4BC6">
      <w:pPr>
        <w:pStyle w:val="NormalWeb"/>
        <w:spacing w:before="0" w:beforeAutospacing="0" w:after="0" w:afterAutospacing="0"/>
        <w:ind w:left="1440"/>
        <w:rPr>
          <w:rFonts w:ascii="Times" w:hAnsi="Times"/>
        </w:rPr>
      </w:pPr>
      <w:r w:rsidRPr="00BA50A7">
        <w:rPr>
          <w:rFonts w:ascii="Times" w:hAnsi="Times"/>
        </w:rPr>
        <w:t xml:space="preserve">Risk Group 2 (RG2) agents are associated with human disease which is rarely serious and for which preventive or therapeutic interventions are </w:t>
      </w:r>
      <w:r w:rsidRPr="00BA50A7">
        <w:rPr>
          <w:rFonts w:ascii="Times" w:hAnsi="Times"/>
          <w:iCs/>
        </w:rPr>
        <w:t xml:space="preserve">often </w:t>
      </w:r>
      <w:r w:rsidRPr="00BA50A7">
        <w:rPr>
          <w:rFonts w:ascii="Times" w:hAnsi="Times"/>
        </w:rPr>
        <w:t xml:space="preserve">available. </w:t>
      </w:r>
    </w:p>
    <w:p w14:paraId="105D1941" w14:textId="5D966DD5" w:rsidR="00B511C7" w:rsidRPr="00074082" w:rsidRDefault="00B511C7" w:rsidP="00B511C7">
      <w:pPr>
        <w:pStyle w:val="NormalWeb"/>
        <w:numPr>
          <w:ilvl w:val="0"/>
          <w:numId w:val="14"/>
        </w:numPr>
        <w:spacing w:before="0" w:beforeAutospacing="0" w:after="0" w:afterAutospacing="0"/>
        <w:rPr>
          <w:rFonts w:ascii="Times" w:hAnsi="Times"/>
        </w:rPr>
      </w:pPr>
      <w:r w:rsidRPr="00074082">
        <w:rPr>
          <w:rFonts w:ascii="Times" w:hAnsi="Times"/>
        </w:rPr>
        <w:t>Working directly with</w:t>
      </w:r>
      <w:r w:rsidR="004C79B2" w:rsidRPr="00074082">
        <w:rPr>
          <w:rFonts w:ascii="Times" w:hAnsi="Times"/>
        </w:rPr>
        <w:t xml:space="preserve"> (culturing, manipulating, etc.)</w:t>
      </w:r>
      <w:r w:rsidRPr="00074082">
        <w:rPr>
          <w:rFonts w:ascii="Times" w:hAnsi="Times"/>
        </w:rPr>
        <w:t xml:space="preserve"> RG2 agents requires a </w:t>
      </w:r>
      <w:r w:rsidRPr="00074082">
        <w:rPr>
          <w:rFonts w:ascii="Times" w:hAnsi="Times"/>
          <w:u w:val="single"/>
        </w:rPr>
        <w:t>non-exempt</w:t>
      </w:r>
      <w:r w:rsidRPr="00074082">
        <w:rPr>
          <w:rFonts w:ascii="Times" w:hAnsi="Times"/>
        </w:rPr>
        <w:t xml:space="preserve"> BPA. </w:t>
      </w:r>
    </w:p>
    <w:p w14:paraId="3038498E" w14:textId="14ECDFE8" w:rsidR="007C4BC6" w:rsidRPr="00074082" w:rsidRDefault="00B511C7" w:rsidP="007C4BC6">
      <w:pPr>
        <w:pStyle w:val="NormalWeb"/>
        <w:numPr>
          <w:ilvl w:val="0"/>
          <w:numId w:val="14"/>
        </w:numPr>
        <w:spacing w:before="0" w:beforeAutospacing="0" w:after="240" w:afterAutospacing="0"/>
        <w:rPr>
          <w:rFonts w:ascii="Times" w:hAnsi="Times"/>
        </w:rPr>
      </w:pPr>
      <w:r w:rsidRPr="00074082">
        <w:rPr>
          <w:rFonts w:ascii="Times" w:hAnsi="Times"/>
        </w:rPr>
        <w:t xml:space="preserve">If working with </w:t>
      </w:r>
      <w:r w:rsidR="00EC12D1" w:rsidRPr="00074082">
        <w:rPr>
          <w:rFonts w:ascii="Times" w:hAnsi="Times"/>
        </w:rPr>
        <w:t>biological materials</w:t>
      </w:r>
      <w:r w:rsidRPr="00074082">
        <w:rPr>
          <w:rFonts w:ascii="Times" w:hAnsi="Times"/>
        </w:rPr>
        <w:t xml:space="preserve"> that may contain RG2 agents but </w:t>
      </w:r>
      <w:r w:rsidR="004B24AB" w:rsidRPr="00074082">
        <w:rPr>
          <w:rFonts w:ascii="Times" w:hAnsi="Times"/>
        </w:rPr>
        <w:t>with</w:t>
      </w:r>
      <w:r w:rsidRPr="00074082">
        <w:rPr>
          <w:rFonts w:ascii="Times" w:hAnsi="Times"/>
        </w:rPr>
        <w:t xml:space="preserve"> no intent to propagate</w:t>
      </w:r>
      <w:r w:rsidR="004C79B2" w:rsidRPr="00074082">
        <w:rPr>
          <w:rFonts w:ascii="Times" w:hAnsi="Times"/>
        </w:rPr>
        <w:t xml:space="preserve"> or manipulate</w:t>
      </w:r>
      <w:r w:rsidRPr="00074082">
        <w:rPr>
          <w:rFonts w:ascii="Times" w:hAnsi="Times"/>
        </w:rPr>
        <w:t xml:space="preserve"> RG2 agents, see #4 below.</w:t>
      </w:r>
    </w:p>
    <w:p w14:paraId="65472D90" w14:textId="36292D4B" w:rsidR="00E678B9" w:rsidRPr="00BA50A7" w:rsidRDefault="00E678B9" w:rsidP="00A7762A">
      <w:pPr>
        <w:pStyle w:val="NormalWeb"/>
        <w:ind w:left="1440"/>
        <w:rPr>
          <w:rFonts w:ascii="Times" w:hAnsi="Times"/>
        </w:rPr>
      </w:pPr>
      <w:r w:rsidRPr="00BA50A7">
        <w:rPr>
          <w:rFonts w:ascii="Times" w:hAnsi="Times"/>
        </w:rPr>
        <w:t xml:space="preserve">Risk Group 3 (RG3) agents are associated with serious or lethal human disease for which preventive or therapeutic interventions </w:t>
      </w:r>
      <w:r w:rsidRPr="00BA50A7">
        <w:rPr>
          <w:rFonts w:ascii="Times" w:hAnsi="Times"/>
          <w:i/>
          <w:iCs/>
        </w:rPr>
        <w:t xml:space="preserve">may be </w:t>
      </w:r>
      <w:r w:rsidRPr="00BA50A7">
        <w:rPr>
          <w:rFonts w:ascii="Times" w:hAnsi="Times"/>
        </w:rPr>
        <w:t>available.</w:t>
      </w:r>
      <w:r w:rsidR="009D4B8E" w:rsidRPr="00BA50A7">
        <w:rPr>
          <w:rFonts w:ascii="Times" w:hAnsi="Times"/>
        </w:rPr>
        <w:t xml:space="preserve"> </w:t>
      </w:r>
      <w:r w:rsidRPr="00BA50A7">
        <w:rPr>
          <w:rFonts w:ascii="Times" w:hAnsi="Times"/>
        </w:rPr>
        <w:t>[Not allowed at UWSP facilities]</w:t>
      </w:r>
    </w:p>
    <w:p w14:paraId="2FFF52EE" w14:textId="70A51940" w:rsidR="00E678B9" w:rsidRPr="00BA50A7" w:rsidRDefault="00E678B9" w:rsidP="00A7762A">
      <w:pPr>
        <w:pStyle w:val="NormalWeb"/>
        <w:ind w:left="1440"/>
        <w:rPr>
          <w:rFonts w:ascii="Times" w:hAnsi="Times"/>
        </w:rPr>
      </w:pPr>
      <w:r w:rsidRPr="00BA50A7">
        <w:rPr>
          <w:rFonts w:ascii="Times" w:hAnsi="Times"/>
        </w:rPr>
        <w:t xml:space="preserve">Risk Group 4 (RG4) agents are likely to cause serious or lethal human disease for which preventive or therapeutic interventions are </w:t>
      </w:r>
      <w:r w:rsidRPr="00BA50A7">
        <w:rPr>
          <w:rFonts w:ascii="Times" w:hAnsi="Times"/>
          <w:i/>
          <w:iCs/>
        </w:rPr>
        <w:t xml:space="preserve">not usually </w:t>
      </w:r>
      <w:r w:rsidRPr="00BA50A7">
        <w:rPr>
          <w:rFonts w:ascii="Times" w:hAnsi="Times"/>
        </w:rPr>
        <w:t>available. [Not allowed at UWSP facilities]</w:t>
      </w:r>
    </w:p>
    <w:p w14:paraId="2EFDAE71" w14:textId="023F5911" w:rsidR="00E678B9" w:rsidRPr="00BA50A7" w:rsidRDefault="00E678B9" w:rsidP="00C65BA7">
      <w:pPr>
        <w:spacing w:after="0" w:line="240" w:lineRule="auto"/>
        <w:ind w:left="720" w:hanging="360"/>
        <w:rPr>
          <w:rFonts w:eastAsia="Times New Roman" w:cs="Arial"/>
          <w:b/>
        </w:rPr>
      </w:pPr>
      <w:r w:rsidRPr="00BA50A7">
        <w:rPr>
          <w:rFonts w:ascii="Times" w:hAnsi="Times"/>
        </w:rPr>
        <w:t>2</w:t>
      </w:r>
      <w:r w:rsidR="00C65BA7" w:rsidRPr="00BA50A7">
        <w:rPr>
          <w:rFonts w:ascii="Times" w:hAnsi="Times"/>
        </w:rPr>
        <w:t>.</w:t>
      </w:r>
      <w:r w:rsidR="00C65BA7" w:rsidRPr="00BA50A7">
        <w:rPr>
          <w:rFonts w:ascii="Times" w:hAnsi="Times"/>
          <w:b/>
        </w:rPr>
        <w:tab/>
      </w:r>
      <w:r w:rsidRPr="00BA50A7">
        <w:rPr>
          <w:rFonts w:eastAsia="Times New Roman" w:cs="Arial"/>
          <w:b/>
        </w:rPr>
        <w:t>Exempt Research</w:t>
      </w:r>
      <w:r w:rsidRPr="00BA50A7">
        <w:rPr>
          <w:rFonts w:ascii="Times" w:hAnsi="Times"/>
        </w:rPr>
        <w:t>—</w:t>
      </w:r>
      <w:r w:rsidRPr="00BA50A7">
        <w:rPr>
          <w:rFonts w:eastAsia="Times New Roman" w:cs="Arial"/>
        </w:rPr>
        <w:t>If the answer is “</w:t>
      </w:r>
      <w:r w:rsidR="00590A97" w:rsidRPr="00BA50A7">
        <w:rPr>
          <w:rFonts w:eastAsia="Times New Roman" w:cs="Arial"/>
        </w:rPr>
        <w:t>n</w:t>
      </w:r>
      <w:r w:rsidRPr="00BA50A7">
        <w:rPr>
          <w:rFonts w:eastAsia="Times New Roman" w:cs="Arial"/>
        </w:rPr>
        <w:t xml:space="preserve">o” to </w:t>
      </w:r>
      <w:r w:rsidRPr="00BA50A7">
        <w:rPr>
          <w:rFonts w:eastAsia="Times New Roman" w:cs="Arial"/>
          <w:b/>
          <w:u w:val="single"/>
        </w:rPr>
        <w:t>all</w:t>
      </w:r>
      <w:r w:rsidRPr="00BA50A7">
        <w:rPr>
          <w:rFonts w:eastAsia="Times New Roman" w:cs="Arial"/>
        </w:rPr>
        <w:t xml:space="preserve"> of the</w:t>
      </w:r>
      <w:r w:rsidR="00111FBF" w:rsidRPr="00BA50A7">
        <w:rPr>
          <w:rFonts w:eastAsia="Times New Roman" w:cs="Arial"/>
        </w:rPr>
        <w:t xml:space="preserve"> following</w:t>
      </w:r>
      <w:r w:rsidRPr="00BA50A7">
        <w:rPr>
          <w:rFonts w:eastAsia="Times New Roman" w:cs="Arial"/>
        </w:rPr>
        <w:t xml:space="preserve"> questions, then your </w:t>
      </w:r>
      <w:proofErr w:type="spellStart"/>
      <w:r w:rsidRPr="00BA50A7">
        <w:rPr>
          <w:rFonts w:eastAsia="Times New Roman" w:cs="Arial"/>
        </w:rPr>
        <w:t>recDNA</w:t>
      </w:r>
      <w:proofErr w:type="spellEnd"/>
      <w:r w:rsidRPr="00BA50A7">
        <w:rPr>
          <w:rFonts w:eastAsia="Times New Roman" w:cs="Arial"/>
        </w:rPr>
        <w:t xml:space="preserve"> research </w:t>
      </w:r>
      <w:r w:rsidR="009851DF" w:rsidRPr="00BA50A7">
        <w:rPr>
          <w:rFonts w:eastAsia="Times New Roman" w:cs="Arial"/>
        </w:rPr>
        <w:t xml:space="preserve">is </w:t>
      </w:r>
      <w:r w:rsidR="009851DF" w:rsidRPr="00BA50A7">
        <w:rPr>
          <w:rFonts w:eastAsia="Times New Roman" w:cs="Arial"/>
          <w:u w:val="single"/>
        </w:rPr>
        <w:t>exempt</w:t>
      </w:r>
      <w:r w:rsidRPr="00BA50A7">
        <w:rPr>
          <w:rFonts w:eastAsia="Times New Roman" w:cs="Arial"/>
        </w:rPr>
        <w:t>.</w:t>
      </w:r>
      <w:r w:rsidR="009D4B8E" w:rsidRPr="00BA50A7">
        <w:rPr>
          <w:rFonts w:eastAsia="Times New Roman" w:cs="Arial"/>
        </w:rPr>
        <w:t xml:space="preserve"> </w:t>
      </w:r>
      <w:r w:rsidR="004C79B2" w:rsidRPr="00074082">
        <w:rPr>
          <w:rFonts w:eastAsia="Times New Roman" w:cs="Arial"/>
        </w:rPr>
        <w:t xml:space="preserve">Once these questions are answered, proceed to #3 below. </w:t>
      </w:r>
      <w:r w:rsidRPr="00074082">
        <w:rPr>
          <w:rFonts w:eastAsia="Times New Roman" w:cs="Arial"/>
        </w:rPr>
        <w:t xml:space="preserve">Does </w:t>
      </w:r>
      <w:r w:rsidR="004C79B2" w:rsidRPr="00074082">
        <w:rPr>
          <w:rFonts w:eastAsia="Times New Roman" w:cs="Arial"/>
        </w:rPr>
        <w:t>your activity</w:t>
      </w:r>
      <w:r w:rsidR="004C79B2">
        <w:rPr>
          <w:rFonts w:eastAsia="Times New Roman" w:cs="Arial"/>
        </w:rPr>
        <w:t xml:space="preserve"> </w:t>
      </w:r>
      <w:r w:rsidRPr="00BA50A7">
        <w:rPr>
          <w:rFonts w:eastAsia="Times New Roman" w:cs="Arial"/>
        </w:rPr>
        <w:t>involve:</w:t>
      </w:r>
    </w:p>
    <w:p w14:paraId="5519F872" w14:textId="5B6C7E57" w:rsidR="00E678B9" w:rsidRPr="00BA50A7" w:rsidRDefault="00111FBF" w:rsidP="00C65BA7">
      <w:pPr>
        <w:numPr>
          <w:ilvl w:val="0"/>
          <w:numId w:val="5"/>
        </w:numPr>
        <w:spacing w:after="0" w:line="240" w:lineRule="auto"/>
        <w:ind w:left="1440"/>
        <w:rPr>
          <w:rFonts w:eastAsia="Times New Roman" w:cs="Arial"/>
          <w:b/>
        </w:rPr>
      </w:pPr>
      <w:r w:rsidRPr="00BA50A7">
        <w:rPr>
          <w:rFonts w:eastAsia="Times New Roman" w:cs="Arial"/>
          <w:b/>
        </w:rPr>
        <w:t>a</w:t>
      </w:r>
      <w:r w:rsidR="00E678B9" w:rsidRPr="00BA50A7">
        <w:rPr>
          <w:rFonts w:eastAsia="Times New Roman" w:cs="Arial"/>
          <w:b/>
        </w:rPr>
        <w:t xml:space="preserve"> construct contain</w:t>
      </w:r>
      <w:r w:rsidRPr="00BA50A7">
        <w:rPr>
          <w:rFonts w:eastAsia="Times New Roman" w:cs="Arial"/>
          <w:b/>
        </w:rPr>
        <w:t>ing</w:t>
      </w:r>
      <w:r w:rsidR="00E678B9" w:rsidRPr="00BA50A7">
        <w:rPr>
          <w:rFonts w:eastAsia="Times New Roman" w:cs="Arial"/>
          <w:b/>
        </w:rPr>
        <w:t xml:space="preserve"> viral DNA that represents more than 2/3 of any eukaryotic viral genome</w:t>
      </w:r>
      <w:r w:rsidRPr="00BA50A7">
        <w:rPr>
          <w:rFonts w:eastAsia="Times New Roman" w:cs="Arial"/>
          <w:b/>
        </w:rPr>
        <w:t>?</w:t>
      </w:r>
    </w:p>
    <w:p w14:paraId="605D0D9F" w14:textId="31CAA54A" w:rsidR="00E678B9" w:rsidRPr="00BA50A7" w:rsidRDefault="00111FBF" w:rsidP="00C65BA7">
      <w:pPr>
        <w:numPr>
          <w:ilvl w:val="0"/>
          <w:numId w:val="5"/>
        </w:numPr>
        <w:spacing w:after="0" w:line="240" w:lineRule="auto"/>
        <w:ind w:left="1440"/>
        <w:rPr>
          <w:rFonts w:eastAsia="Times New Roman" w:cs="Arial"/>
          <w:b/>
        </w:rPr>
      </w:pPr>
      <w:r w:rsidRPr="00BA50A7">
        <w:rPr>
          <w:rFonts w:eastAsia="Times New Roman" w:cs="Arial"/>
          <w:b/>
        </w:rPr>
        <w:t>u</w:t>
      </w:r>
      <w:r w:rsidR="00E678B9" w:rsidRPr="00BA50A7">
        <w:rPr>
          <w:rFonts w:eastAsia="Times New Roman" w:cs="Arial"/>
          <w:b/>
        </w:rPr>
        <w:t>sing risk group 2, 3, or 4 agents as host or vector</w:t>
      </w:r>
      <w:r w:rsidRPr="00BA50A7">
        <w:rPr>
          <w:rFonts w:eastAsia="Times New Roman" w:cs="Arial"/>
          <w:b/>
        </w:rPr>
        <w:t>?</w:t>
      </w:r>
    </w:p>
    <w:p w14:paraId="6CE06F4A" w14:textId="398E6C7C" w:rsidR="00E678B9" w:rsidRPr="00BA50A7" w:rsidRDefault="00111FBF" w:rsidP="00C65BA7">
      <w:pPr>
        <w:numPr>
          <w:ilvl w:val="0"/>
          <w:numId w:val="5"/>
        </w:numPr>
        <w:spacing w:after="0" w:line="240" w:lineRule="auto"/>
        <w:ind w:left="1440"/>
        <w:rPr>
          <w:rFonts w:eastAsia="Times New Roman" w:cs="Arial"/>
          <w:b/>
        </w:rPr>
      </w:pPr>
      <w:r w:rsidRPr="00BA50A7">
        <w:rPr>
          <w:rFonts w:eastAsia="Times New Roman" w:cs="Arial"/>
          <w:b/>
        </w:rPr>
        <w:t>c</w:t>
      </w:r>
      <w:r w:rsidR="00E678B9" w:rsidRPr="00BA50A7">
        <w:rPr>
          <w:rFonts w:eastAsia="Times New Roman" w:cs="Arial"/>
          <w:b/>
        </w:rPr>
        <w:t>loning DNA for risk group 2, 3, or 4 agents into nonpathogenic prokaryotic or lower eukaryotic host-vector systems</w:t>
      </w:r>
      <w:r w:rsidRPr="00BA50A7">
        <w:rPr>
          <w:rFonts w:eastAsia="Times New Roman" w:cs="Arial"/>
          <w:b/>
        </w:rPr>
        <w:t>?</w:t>
      </w:r>
    </w:p>
    <w:p w14:paraId="791A649D" w14:textId="0B964B77" w:rsidR="00E678B9" w:rsidRPr="00BA50A7" w:rsidRDefault="00111FBF" w:rsidP="00C65BA7">
      <w:pPr>
        <w:numPr>
          <w:ilvl w:val="0"/>
          <w:numId w:val="5"/>
        </w:numPr>
        <w:spacing w:after="0" w:line="240" w:lineRule="auto"/>
        <w:ind w:left="1440"/>
        <w:rPr>
          <w:rFonts w:eastAsia="Times New Roman" w:cs="Arial"/>
          <w:b/>
        </w:rPr>
      </w:pPr>
      <w:r w:rsidRPr="00BA50A7">
        <w:rPr>
          <w:rFonts w:eastAsia="Times New Roman" w:cs="Arial"/>
          <w:b/>
        </w:rPr>
        <w:t>u</w:t>
      </w:r>
      <w:r w:rsidR="00E678B9" w:rsidRPr="00BA50A7">
        <w:rPr>
          <w:rFonts w:eastAsia="Times New Roman" w:cs="Arial"/>
          <w:b/>
        </w:rPr>
        <w:t>sing infectious or defective DNA or RNA viruses in the presence of helper virus in tissue culture systems</w:t>
      </w:r>
      <w:r w:rsidRPr="00BA50A7">
        <w:rPr>
          <w:rFonts w:eastAsia="Times New Roman" w:cs="Arial"/>
          <w:b/>
        </w:rPr>
        <w:t>?</w:t>
      </w:r>
    </w:p>
    <w:p w14:paraId="0492C942" w14:textId="1FD9D964" w:rsidR="00E678B9" w:rsidRPr="00BA50A7" w:rsidRDefault="00111FBF" w:rsidP="00C65BA7">
      <w:pPr>
        <w:numPr>
          <w:ilvl w:val="0"/>
          <w:numId w:val="5"/>
        </w:numPr>
        <w:spacing w:after="0" w:line="240" w:lineRule="auto"/>
        <w:ind w:left="1440"/>
        <w:rPr>
          <w:rFonts w:eastAsia="Times New Roman" w:cs="Arial"/>
          <w:b/>
        </w:rPr>
      </w:pPr>
      <w:r w:rsidRPr="00BA50A7">
        <w:rPr>
          <w:rFonts w:eastAsia="Times New Roman" w:cs="Arial"/>
          <w:b/>
        </w:rPr>
        <w:t>c</w:t>
      </w:r>
      <w:r w:rsidR="00E678B9" w:rsidRPr="00BA50A7">
        <w:rPr>
          <w:rFonts w:eastAsia="Times New Roman" w:cs="Arial"/>
          <w:b/>
        </w:rPr>
        <w:t>reation of transgenic animals or plants</w:t>
      </w:r>
      <w:r w:rsidRPr="00BA50A7">
        <w:rPr>
          <w:rFonts w:eastAsia="Times New Roman" w:cs="Arial"/>
          <w:b/>
        </w:rPr>
        <w:t>?</w:t>
      </w:r>
    </w:p>
    <w:p w14:paraId="0E3FA3F3" w14:textId="5237992F" w:rsidR="00E678B9" w:rsidRPr="00BA50A7" w:rsidRDefault="00111FBF" w:rsidP="00C65BA7">
      <w:pPr>
        <w:numPr>
          <w:ilvl w:val="0"/>
          <w:numId w:val="5"/>
        </w:numPr>
        <w:spacing w:after="0" w:line="240" w:lineRule="auto"/>
        <w:ind w:left="1440"/>
        <w:rPr>
          <w:rFonts w:eastAsia="Times New Roman" w:cs="Arial"/>
          <w:b/>
        </w:rPr>
      </w:pPr>
      <w:r w:rsidRPr="00BA50A7">
        <w:rPr>
          <w:rFonts w:eastAsia="Times New Roman" w:cs="Arial"/>
          <w:b/>
        </w:rPr>
        <w:t>u</w:t>
      </w:r>
      <w:r w:rsidR="00E678B9" w:rsidRPr="00BA50A7">
        <w:rPr>
          <w:rFonts w:eastAsia="Times New Roman" w:cs="Arial"/>
          <w:b/>
        </w:rPr>
        <w:t>sing more than 10 liters of culture</w:t>
      </w:r>
      <w:r w:rsidRPr="00BA50A7">
        <w:rPr>
          <w:rFonts w:eastAsia="Times New Roman" w:cs="Arial"/>
          <w:b/>
        </w:rPr>
        <w:t>?</w:t>
      </w:r>
    </w:p>
    <w:p w14:paraId="3A8152E1" w14:textId="25E0B78D" w:rsidR="00E678B9" w:rsidRPr="00BA50A7" w:rsidRDefault="00111FBF" w:rsidP="00C65BA7">
      <w:pPr>
        <w:numPr>
          <w:ilvl w:val="0"/>
          <w:numId w:val="5"/>
        </w:numPr>
        <w:spacing w:after="0" w:line="240" w:lineRule="auto"/>
        <w:ind w:left="1440"/>
        <w:rPr>
          <w:rFonts w:eastAsia="Times New Roman" w:cs="Arial"/>
          <w:b/>
        </w:rPr>
      </w:pPr>
      <w:r w:rsidRPr="00BA50A7">
        <w:rPr>
          <w:rFonts w:eastAsia="Times New Roman" w:cs="Arial"/>
          <w:b/>
        </w:rPr>
        <w:t>c</w:t>
      </w:r>
      <w:r w:rsidR="00E678B9" w:rsidRPr="00BA50A7">
        <w:rPr>
          <w:rFonts w:eastAsia="Times New Roman" w:cs="Arial"/>
          <w:b/>
        </w:rPr>
        <w:t>loning of toxin molecules with LD50 of less than 100 ng per kg of body weight</w:t>
      </w:r>
      <w:r w:rsidRPr="00BA50A7">
        <w:rPr>
          <w:rFonts w:eastAsia="Times New Roman" w:cs="Arial"/>
          <w:b/>
        </w:rPr>
        <w:t>?</w:t>
      </w:r>
    </w:p>
    <w:p w14:paraId="0E556506" w14:textId="2E84BD60" w:rsidR="00E678B9" w:rsidRPr="00BA50A7" w:rsidRDefault="00111FBF" w:rsidP="00C65BA7">
      <w:pPr>
        <w:numPr>
          <w:ilvl w:val="0"/>
          <w:numId w:val="4"/>
        </w:numPr>
        <w:spacing w:after="0" w:line="240" w:lineRule="auto"/>
        <w:ind w:left="1440"/>
        <w:rPr>
          <w:rFonts w:eastAsia="Times New Roman" w:cs="Arial"/>
          <w:b/>
        </w:rPr>
      </w:pPr>
      <w:r w:rsidRPr="00BA50A7">
        <w:rPr>
          <w:rFonts w:eastAsia="Times New Roman" w:cs="Arial"/>
          <w:b/>
        </w:rPr>
        <w:t>d</w:t>
      </w:r>
      <w:r w:rsidR="00E678B9" w:rsidRPr="00BA50A7">
        <w:rPr>
          <w:rFonts w:eastAsia="Times New Roman" w:cs="Arial"/>
          <w:b/>
        </w:rPr>
        <w:t>eliberate transfer of recombinant DNA, or DNA or RNA derived from rDNA into one or more human subjects</w:t>
      </w:r>
      <w:r w:rsidRPr="00BA50A7">
        <w:rPr>
          <w:rFonts w:eastAsia="Times New Roman" w:cs="Arial"/>
          <w:b/>
        </w:rPr>
        <w:t>?</w:t>
      </w:r>
    </w:p>
    <w:p w14:paraId="7D113E24" w14:textId="0512ED8C" w:rsidR="00E678B9" w:rsidRPr="00BA50A7" w:rsidRDefault="00111FBF" w:rsidP="00C65BA7">
      <w:pPr>
        <w:numPr>
          <w:ilvl w:val="0"/>
          <w:numId w:val="4"/>
        </w:numPr>
        <w:spacing w:after="0" w:line="240" w:lineRule="auto"/>
        <w:ind w:left="1440"/>
        <w:rPr>
          <w:rFonts w:eastAsia="Times New Roman" w:cs="Arial"/>
          <w:b/>
        </w:rPr>
      </w:pPr>
      <w:r w:rsidRPr="00BA50A7">
        <w:rPr>
          <w:rFonts w:eastAsia="Times New Roman" w:cs="Arial"/>
          <w:b/>
        </w:rPr>
        <w:t>d</w:t>
      </w:r>
      <w:r w:rsidR="00E678B9" w:rsidRPr="00BA50A7">
        <w:rPr>
          <w:rFonts w:eastAsia="Times New Roman" w:cs="Arial"/>
          <w:b/>
        </w:rPr>
        <w:t>eliberate transfer of a drug resistant trait to microorganisms not known to acquire this trait naturally, if such acquisition could compromise the use of the drug to control disease agents in humans, veterinary medicine, or agriculture</w:t>
      </w:r>
      <w:r w:rsidRPr="00BA50A7">
        <w:rPr>
          <w:rFonts w:eastAsia="Times New Roman" w:cs="Arial"/>
          <w:b/>
        </w:rPr>
        <w:t>?</w:t>
      </w:r>
    </w:p>
    <w:p w14:paraId="34602C45" w14:textId="63F0C30E" w:rsidR="003F7973" w:rsidRPr="004C79B2" w:rsidRDefault="00E678B9" w:rsidP="00C65BA7">
      <w:pPr>
        <w:pStyle w:val="NormalWeb"/>
        <w:ind w:left="720" w:hanging="360"/>
        <w:rPr>
          <w:rFonts w:cs="Arial"/>
        </w:rPr>
      </w:pPr>
      <w:r w:rsidRPr="00BA50A7">
        <w:rPr>
          <w:rFonts w:ascii="Times" w:hAnsi="Times"/>
        </w:rPr>
        <w:lastRenderedPageBreak/>
        <w:t>3</w:t>
      </w:r>
      <w:r w:rsidR="00C65BA7" w:rsidRPr="00BA50A7">
        <w:rPr>
          <w:rFonts w:ascii="Times" w:hAnsi="Times"/>
        </w:rPr>
        <w:t>.</w:t>
      </w:r>
      <w:r w:rsidR="00C65BA7" w:rsidRPr="00BA50A7">
        <w:rPr>
          <w:rFonts w:ascii="Times" w:hAnsi="Times"/>
          <w:b/>
        </w:rPr>
        <w:tab/>
      </w:r>
      <w:r w:rsidRPr="00BA50A7">
        <w:rPr>
          <w:rFonts w:ascii="Times" w:hAnsi="Times"/>
          <w:b/>
        </w:rPr>
        <w:t>Non-Exempt Research</w:t>
      </w:r>
      <w:r w:rsidRPr="00BA50A7">
        <w:rPr>
          <w:rFonts w:ascii="Times" w:hAnsi="Times"/>
        </w:rPr>
        <w:t>—</w:t>
      </w:r>
      <w:r w:rsidRPr="00BA50A7">
        <w:rPr>
          <w:rFonts w:cs="Arial"/>
        </w:rPr>
        <w:t>An answer of “</w:t>
      </w:r>
      <w:r w:rsidR="00590A97" w:rsidRPr="00BA50A7">
        <w:rPr>
          <w:rFonts w:cs="Arial"/>
        </w:rPr>
        <w:t>y</w:t>
      </w:r>
      <w:r w:rsidRPr="00BA50A7">
        <w:rPr>
          <w:rFonts w:cs="Arial"/>
        </w:rPr>
        <w:t>es” to any of the questions</w:t>
      </w:r>
      <w:r w:rsidR="003C555C" w:rsidRPr="00BA50A7">
        <w:rPr>
          <w:rFonts w:cs="Arial"/>
        </w:rPr>
        <w:t xml:space="preserve"> in section 2</w:t>
      </w:r>
      <w:r w:rsidR="007C4BC6" w:rsidRPr="00BA50A7">
        <w:rPr>
          <w:rFonts w:cs="Arial"/>
        </w:rPr>
        <w:t xml:space="preserve"> </w:t>
      </w:r>
      <w:r w:rsidR="007C4BC6" w:rsidRPr="00BA50A7">
        <w:rPr>
          <w:rFonts w:cs="Arial"/>
          <w:b/>
          <w:bCs/>
        </w:rPr>
        <w:t>or</w:t>
      </w:r>
      <w:r w:rsidR="007C4BC6" w:rsidRPr="00BA50A7">
        <w:rPr>
          <w:rFonts w:cs="Arial"/>
        </w:rPr>
        <w:t xml:space="preserve"> identif</w:t>
      </w:r>
      <w:r w:rsidR="000E1575" w:rsidRPr="00BA50A7">
        <w:rPr>
          <w:rFonts w:cs="Arial"/>
        </w:rPr>
        <w:t>ication of</w:t>
      </w:r>
      <w:r w:rsidR="007C4BC6" w:rsidRPr="00BA50A7">
        <w:rPr>
          <w:rFonts w:cs="Arial"/>
        </w:rPr>
        <w:t xml:space="preserve"> an agent as RG2</w:t>
      </w:r>
      <w:r w:rsidRPr="00BA50A7">
        <w:rPr>
          <w:rFonts w:cs="Arial"/>
        </w:rPr>
        <w:t xml:space="preserve"> </w:t>
      </w:r>
      <w:r w:rsidR="009851DF" w:rsidRPr="00BA50A7">
        <w:rPr>
          <w:rFonts w:cs="Arial"/>
        </w:rPr>
        <w:t xml:space="preserve">is </w:t>
      </w:r>
      <w:r w:rsidR="009851DF" w:rsidRPr="00BA50A7">
        <w:rPr>
          <w:rFonts w:cs="Arial"/>
          <w:u w:val="single"/>
        </w:rPr>
        <w:t>non-exempt</w:t>
      </w:r>
      <w:r w:rsidR="009851DF" w:rsidRPr="00BA50A7">
        <w:rPr>
          <w:rFonts w:cs="Arial"/>
        </w:rPr>
        <w:t xml:space="preserve"> and </w:t>
      </w:r>
      <w:r w:rsidRPr="00BA50A7">
        <w:rPr>
          <w:rFonts w:cs="Arial"/>
        </w:rPr>
        <w:t>require</w:t>
      </w:r>
      <w:r w:rsidR="007C4BC6" w:rsidRPr="00BA50A7">
        <w:rPr>
          <w:rFonts w:cs="Arial"/>
        </w:rPr>
        <w:t>s</w:t>
      </w:r>
      <w:r w:rsidR="009851DF" w:rsidRPr="00BA50A7">
        <w:rPr>
          <w:rFonts w:cs="Arial"/>
        </w:rPr>
        <w:t xml:space="preserve"> a</w:t>
      </w:r>
      <w:r w:rsidR="00B511C7">
        <w:rPr>
          <w:rFonts w:cs="Arial"/>
        </w:rPr>
        <w:t xml:space="preserve"> </w:t>
      </w:r>
      <w:r w:rsidR="00B511C7" w:rsidRPr="00074082">
        <w:rPr>
          <w:rFonts w:cs="Arial"/>
        </w:rPr>
        <w:t>full</w:t>
      </w:r>
      <w:r w:rsidRPr="00BA50A7">
        <w:rPr>
          <w:rFonts w:cs="Arial"/>
        </w:rPr>
        <w:t xml:space="preserve"> </w:t>
      </w:r>
      <w:r w:rsidR="001F1247" w:rsidRPr="00BA50A7">
        <w:rPr>
          <w:rFonts w:cs="Arial"/>
        </w:rPr>
        <w:t>BPA</w:t>
      </w:r>
      <w:r w:rsidR="009851DF" w:rsidRPr="00BA50A7">
        <w:rPr>
          <w:rFonts w:cs="Arial"/>
        </w:rPr>
        <w:t>.</w:t>
      </w:r>
      <w:r w:rsidR="00590A97" w:rsidRPr="00BA50A7">
        <w:rPr>
          <w:rFonts w:cs="Arial"/>
        </w:rPr>
        <w:t xml:space="preserve"> </w:t>
      </w:r>
      <w:r w:rsidR="004C79B2">
        <w:rPr>
          <w:rFonts w:cs="Arial"/>
        </w:rPr>
        <w:t xml:space="preserve">If you answered “no” to all questions in section 2, you are required to submit an </w:t>
      </w:r>
      <w:r w:rsidR="004C79B2">
        <w:rPr>
          <w:rFonts w:cs="Arial"/>
          <w:u w:val="single"/>
        </w:rPr>
        <w:t>exempt</w:t>
      </w:r>
      <w:r w:rsidR="004C79B2">
        <w:rPr>
          <w:rFonts w:cs="Arial"/>
        </w:rPr>
        <w:t xml:space="preserve"> (partial) BPA.</w:t>
      </w:r>
    </w:p>
    <w:p w14:paraId="4242220D" w14:textId="1F970111" w:rsidR="00BB2C39" w:rsidRPr="00074082" w:rsidRDefault="000F57E9" w:rsidP="000F57E9">
      <w:pPr>
        <w:pStyle w:val="NormalWeb"/>
        <w:ind w:left="720" w:hanging="360"/>
        <w:rPr>
          <w:rFonts w:cs="Arial"/>
        </w:rPr>
      </w:pPr>
      <w:bookmarkStart w:id="0" w:name="_Hlk30148645"/>
      <w:r>
        <w:rPr>
          <w:rFonts w:cs="Arial"/>
        </w:rPr>
        <w:t xml:space="preserve">4. </w:t>
      </w:r>
      <w:r>
        <w:rPr>
          <w:rFonts w:cs="Arial"/>
        </w:rPr>
        <w:tab/>
      </w:r>
      <w:r w:rsidR="004C79B2" w:rsidRPr="00074082">
        <w:rPr>
          <w:rFonts w:cs="Arial"/>
          <w:b/>
        </w:rPr>
        <w:t>Activities using</w:t>
      </w:r>
      <w:r w:rsidRPr="00074082">
        <w:rPr>
          <w:rFonts w:cs="Arial"/>
          <w:b/>
        </w:rPr>
        <w:t xml:space="preserve"> living or dead animals that potential</w:t>
      </w:r>
      <w:r w:rsidR="00BB2C39" w:rsidRPr="00074082">
        <w:rPr>
          <w:rFonts w:cs="Arial"/>
          <w:b/>
        </w:rPr>
        <w:t>ly</w:t>
      </w:r>
      <w:r w:rsidRPr="00074082">
        <w:rPr>
          <w:rFonts w:cs="Arial"/>
          <w:b/>
        </w:rPr>
        <w:t xml:space="preserve"> carry </w:t>
      </w:r>
      <w:r w:rsidR="004B24AB" w:rsidRPr="00074082">
        <w:rPr>
          <w:rFonts w:cs="Arial"/>
          <w:b/>
        </w:rPr>
        <w:t>RG2 or higher agents</w:t>
      </w:r>
      <w:r w:rsidRPr="00074082">
        <w:rPr>
          <w:rFonts w:cs="Arial"/>
        </w:rPr>
        <w:t xml:space="preserve"> </w:t>
      </w:r>
    </w:p>
    <w:p w14:paraId="45BDA2D0" w14:textId="7134974A" w:rsidR="004C79B2" w:rsidRPr="00074082" w:rsidRDefault="000F57E9" w:rsidP="004C79B2">
      <w:pPr>
        <w:pStyle w:val="NormalWeb"/>
        <w:ind w:left="720"/>
        <w:rPr>
          <w:rFonts w:cs="Arial"/>
        </w:rPr>
      </w:pPr>
      <w:r w:rsidRPr="00074082">
        <w:rPr>
          <w:rFonts w:cs="Arial"/>
        </w:rPr>
        <w:t xml:space="preserve">If your activity includes </w:t>
      </w:r>
      <w:r w:rsidR="004C79B2" w:rsidRPr="00074082">
        <w:rPr>
          <w:rFonts w:cs="Arial"/>
        </w:rPr>
        <w:t>h</w:t>
      </w:r>
      <w:r w:rsidRPr="00074082">
        <w:rPr>
          <w:rFonts w:cs="Arial"/>
        </w:rPr>
        <w:t xml:space="preserve">andling live or dead animals acquired from a source that cannot guarantee the animal is free from RG2 or higher microbes </w:t>
      </w:r>
      <w:r w:rsidR="00CF33B1" w:rsidRPr="00074082">
        <w:rPr>
          <w:rFonts w:cs="Arial"/>
          <w:i/>
          <w:u w:val="single"/>
        </w:rPr>
        <w:t>and</w:t>
      </w:r>
      <w:r w:rsidR="004C79B2" w:rsidRPr="00074082">
        <w:rPr>
          <w:rFonts w:cs="Arial"/>
        </w:rPr>
        <w:t xml:space="preserve"> there is n</w:t>
      </w:r>
      <w:r w:rsidRPr="00074082">
        <w:rPr>
          <w:rFonts w:cs="Arial"/>
        </w:rPr>
        <w:t>o attempt to culture microbes from the animal</w:t>
      </w:r>
      <w:r w:rsidR="004C79B2" w:rsidRPr="00074082">
        <w:rPr>
          <w:rFonts w:cs="Arial"/>
        </w:rPr>
        <w:t>,</w:t>
      </w:r>
      <w:r w:rsidR="00BB2C39" w:rsidRPr="00074082">
        <w:rPr>
          <w:rFonts w:cs="Arial"/>
        </w:rPr>
        <w:t xml:space="preserve"> </w:t>
      </w:r>
      <w:r w:rsidRPr="00074082">
        <w:rPr>
          <w:rFonts w:cs="Arial"/>
        </w:rPr>
        <w:t xml:space="preserve">the protocol </w:t>
      </w:r>
      <w:r w:rsidR="00E31CA7" w:rsidRPr="00074082">
        <w:rPr>
          <w:rFonts w:cs="Arial"/>
        </w:rPr>
        <w:t>is</w:t>
      </w:r>
      <w:r w:rsidRPr="00074082">
        <w:rPr>
          <w:rFonts w:cs="Arial"/>
        </w:rPr>
        <w:t xml:space="preserve"> </w:t>
      </w:r>
      <w:r w:rsidR="004C79B2" w:rsidRPr="00074082">
        <w:rPr>
          <w:rFonts w:cs="Arial"/>
          <w:bCs/>
          <w:u w:val="single"/>
        </w:rPr>
        <w:t>exempt</w:t>
      </w:r>
      <w:r w:rsidRPr="00074082">
        <w:rPr>
          <w:rFonts w:cs="Arial"/>
        </w:rPr>
        <w:t xml:space="preserve"> </w:t>
      </w:r>
      <w:r w:rsidR="004C79B2" w:rsidRPr="00074082">
        <w:rPr>
          <w:rFonts w:cs="Arial"/>
        </w:rPr>
        <w:t>(a partial BPA is required)</w:t>
      </w:r>
      <w:r w:rsidRPr="00074082">
        <w:rPr>
          <w:rFonts w:cs="Arial"/>
        </w:rPr>
        <w:t>.</w:t>
      </w:r>
      <w:r w:rsidR="00BB2C39" w:rsidRPr="00074082">
        <w:rPr>
          <w:rFonts w:cs="Arial"/>
        </w:rPr>
        <w:t xml:space="preserve"> </w:t>
      </w:r>
    </w:p>
    <w:p w14:paraId="1CC9F688" w14:textId="2111B252" w:rsidR="00BB2C39" w:rsidRPr="00074082" w:rsidRDefault="00EC12D1" w:rsidP="004C79B2">
      <w:pPr>
        <w:pStyle w:val="NormalWeb"/>
        <w:ind w:left="720"/>
        <w:rPr>
          <w:rFonts w:cs="Arial"/>
        </w:rPr>
      </w:pPr>
      <w:r w:rsidRPr="00074082">
        <w:rPr>
          <w:rFonts w:cs="Arial"/>
        </w:rPr>
        <w:t>Activities that a</w:t>
      </w:r>
      <w:r w:rsidR="00BB2C39" w:rsidRPr="00074082">
        <w:rPr>
          <w:rFonts w:cs="Arial"/>
        </w:rPr>
        <w:t xml:space="preserve">ttempt to culture microbes </w:t>
      </w:r>
      <w:r w:rsidR="00E31CA7" w:rsidRPr="00074082">
        <w:rPr>
          <w:rFonts w:cs="Arial"/>
        </w:rPr>
        <w:t xml:space="preserve">from tissues </w:t>
      </w:r>
      <w:r w:rsidR="00A3540C" w:rsidRPr="00074082">
        <w:rPr>
          <w:rFonts w:cs="Arial"/>
        </w:rPr>
        <w:t>require</w:t>
      </w:r>
      <w:r w:rsidR="00BB2C39" w:rsidRPr="00074082">
        <w:rPr>
          <w:rFonts w:cs="Arial"/>
        </w:rPr>
        <w:t xml:space="preserve"> </w:t>
      </w:r>
      <w:r w:rsidR="00A3540C" w:rsidRPr="00074082">
        <w:rPr>
          <w:rFonts w:cs="Arial"/>
          <w:bCs/>
          <w:u w:val="single"/>
        </w:rPr>
        <w:t>non-exempt</w:t>
      </w:r>
      <w:r w:rsidR="00BB2C39" w:rsidRPr="00074082">
        <w:rPr>
          <w:rFonts w:cs="Arial"/>
        </w:rPr>
        <w:t xml:space="preserve"> </w:t>
      </w:r>
      <w:r w:rsidR="00A3540C" w:rsidRPr="00074082">
        <w:rPr>
          <w:rFonts w:cs="Arial"/>
        </w:rPr>
        <w:t>status (a full BPA</w:t>
      </w:r>
      <w:r w:rsidR="000F32E4" w:rsidRPr="00074082">
        <w:rPr>
          <w:rFonts w:cs="Arial"/>
        </w:rPr>
        <w:t xml:space="preserve"> is required</w:t>
      </w:r>
      <w:r w:rsidR="00A3540C" w:rsidRPr="00074082">
        <w:rPr>
          <w:rFonts w:cs="Arial"/>
        </w:rPr>
        <w:t>)</w:t>
      </w:r>
      <w:r w:rsidR="00E31CA7" w:rsidRPr="00074082">
        <w:rPr>
          <w:rFonts w:cs="Arial"/>
        </w:rPr>
        <w:t xml:space="preserve"> unless techniques are used to prevent the growth of RG2 or higher agents</w:t>
      </w:r>
      <w:r w:rsidR="00BB2C39" w:rsidRPr="00074082">
        <w:rPr>
          <w:rFonts w:cs="Arial"/>
        </w:rPr>
        <w:t>.</w:t>
      </w:r>
    </w:p>
    <w:p w14:paraId="02A1EEEF" w14:textId="31C69672" w:rsidR="000F57E9" w:rsidRPr="00074082" w:rsidRDefault="00BB2C39" w:rsidP="00BB2C39">
      <w:pPr>
        <w:pStyle w:val="NormalWeb"/>
        <w:ind w:left="720"/>
        <w:rPr>
          <w:rFonts w:cs="Arial"/>
        </w:rPr>
      </w:pPr>
      <w:r w:rsidRPr="00074082">
        <w:rPr>
          <w:rFonts w:cs="Arial"/>
        </w:rPr>
        <w:t xml:space="preserve">For </w:t>
      </w:r>
      <w:r w:rsidR="00A3540C" w:rsidRPr="00074082">
        <w:rPr>
          <w:rFonts w:cs="Arial"/>
          <w:bCs/>
          <w:u w:val="single"/>
        </w:rPr>
        <w:t>exempt</w:t>
      </w:r>
      <w:r w:rsidRPr="00074082">
        <w:rPr>
          <w:rFonts w:cs="Arial"/>
        </w:rPr>
        <w:t xml:space="preserve"> activities</w:t>
      </w:r>
      <w:r w:rsidR="00A3540C" w:rsidRPr="00074082">
        <w:rPr>
          <w:rFonts w:cs="Arial"/>
        </w:rPr>
        <w:t xml:space="preserve"> that use living or dead animals</w:t>
      </w:r>
      <w:r w:rsidRPr="00074082">
        <w:rPr>
          <w:rFonts w:cs="Arial"/>
        </w:rPr>
        <w:t>, include the following information i</w:t>
      </w:r>
      <w:r w:rsidR="000F57E9" w:rsidRPr="00074082">
        <w:rPr>
          <w:rFonts w:cs="Arial"/>
        </w:rPr>
        <w:t xml:space="preserve">n the Experimental Design section (Part 2B) of the </w:t>
      </w:r>
      <w:r w:rsidR="00E31CA7" w:rsidRPr="00074082">
        <w:rPr>
          <w:rFonts w:cs="Arial"/>
        </w:rPr>
        <w:t>BPA</w:t>
      </w:r>
      <w:r w:rsidRPr="00074082">
        <w:rPr>
          <w:rFonts w:cs="Arial"/>
        </w:rPr>
        <w:t>:</w:t>
      </w:r>
      <w:r w:rsidR="000F57E9" w:rsidRPr="00074082">
        <w:rPr>
          <w:rFonts w:cs="Arial"/>
        </w:rPr>
        <w:t xml:space="preserve"> </w:t>
      </w:r>
    </w:p>
    <w:p w14:paraId="5045130D" w14:textId="67F61904" w:rsidR="00E31CA7" w:rsidRPr="00074082" w:rsidRDefault="00E31CA7" w:rsidP="00E31CA7">
      <w:pPr>
        <w:numPr>
          <w:ilvl w:val="0"/>
          <w:numId w:val="15"/>
        </w:numPr>
        <w:spacing w:after="0" w:line="240" w:lineRule="auto"/>
        <w:rPr>
          <w:rFonts w:eastAsia="Times New Roman"/>
        </w:rPr>
      </w:pPr>
      <w:r w:rsidRPr="00074082">
        <w:rPr>
          <w:rFonts w:eastAsia="Times New Roman"/>
        </w:rPr>
        <w:t xml:space="preserve">A list of the types of animals </w:t>
      </w:r>
      <w:r w:rsidR="000F32E4" w:rsidRPr="00074082">
        <w:rPr>
          <w:rFonts w:eastAsia="Times New Roman"/>
        </w:rPr>
        <w:t xml:space="preserve">expected to be </w:t>
      </w:r>
      <w:r w:rsidRPr="00074082">
        <w:rPr>
          <w:rFonts w:eastAsia="Times New Roman"/>
        </w:rPr>
        <w:t>used in the activity.</w:t>
      </w:r>
    </w:p>
    <w:p w14:paraId="3A0A6D28" w14:textId="2D988C24" w:rsidR="00E31CA7" w:rsidRPr="00074082" w:rsidRDefault="00E31CA7" w:rsidP="00E31CA7">
      <w:pPr>
        <w:numPr>
          <w:ilvl w:val="0"/>
          <w:numId w:val="15"/>
        </w:numPr>
        <w:spacing w:after="0" w:line="240" w:lineRule="auto"/>
        <w:rPr>
          <w:rFonts w:eastAsia="Times New Roman"/>
        </w:rPr>
      </w:pPr>
      <w:r w:rsidRPr="00074082">
        <w:rPr>
          <w:rFonts w:eastAsia="Times New Roman"/>
        </w:rPr>
        <w:t xml:space="preserve">A statement </w:t>
      </w:r>
    </w:p>
    <w:p w14:paraId="5F6CDFBB" w14:textId="36CAA670" w:rsidR="00E31CA7" w:rsidRPr="00074082" w:rsidRDefault="00E31CA7" w:rsidP="00E31CA7">
      <w:pPr>
        <w:numPr>
          <w:ilvl w:val="1"/>
          <w:numId w:val="15"/>
        </w:numPr>
        <w:spacing w:after="0" w:line="240" w:lineRule="auto"/>
        <w:rPr>
          <w:rFonts w:eastAsia="Times New Roman"/>
        </w:rPr>
      </w:pPr>
      <w:r w:rsidRPr="00074082">
        <w:rPr>
          <w:rFonts w:eastAsia="Times New Roman"/>
        </w:rPr>
        <w:t xml:space="preserve">that no attempts to culture microbes will be made. </w:t>
      </w:r>
    </w:p>
    <w:p w14:paraId="42DF1109" w14:textId="57AE93E7" w:rsidR="00E31CA7" w:rsidRPr="00074082" w:rsidRDefault="00E31CA7" w:rsidP="00E31CA7">
      <w:pPr>
        <w:spacing w:after="0" w:line="240" w:lineRule="auto"/>
        <w:ind w:left="1859"/>
        <w:rPr>
          <w:rFonts w:eastAsia="Times New Roman"/>
        </w:rPr>
      </w:pPr>
      <w:r w:rsidRPr="00074082">
        <w:rPr>
          <w:rFonts w:eastAsia="Times New Roman"/>
          <w:i/>
          <w:iCs/>
          <w:u w:val="single"/>
        </w:rPr>
        <w:t>or</w:t>
      </w:r>
      <w:r w:rsidRPr="00074082">
        <w:rPr>
          <w:rFonts w:eastAsia="Times New Roman"/>
        </w:rPr>
        <w:t xml:space="preserve"> </w:t>
      </w:r>
    </w:p>
    <w:p w14:paraId="25951EE3" w14:textId="49BE4738" w:rsidR="00E31CA7" w:rsidRPr="00074082" w:rsidRDefault="00E31CA7" w:rsidP="00E31CA7">
      <w:pPr>
        <w:numPr>
          <w:ilvl w:val="1"/>
          <w:numId w:val="15"/>
        </w:numPr>
        <w:spacing w:after="0" w:line="240" w:lineRule="auto"/>
        <w:rPr>
          <w:rFonts w:eastAsia="Times New Roman"/>
        </w:rPr>
      </w:pPr>
      <w:r w:rsidRPr="00074082">
        <w:rPr>
          <w:rFonts w:eastAsia="Times New Roman"/>
        </w:rPr>
        <w:t xml:space="preserve">describing how techniques used to purify or culture microbes will prevent </w:t>
      </w:r>
      <w:r w:rsidR="000F32E4" w:rsidRPr="00074082">
        <w:rPr>
          <w:rFonts w:eastAsia="Times New Roman"/>
        </w:rPr>
        <w:t>growth</w:t>
      </w:r>
      <w:r w:rsidRPr="00074082">
        <w:rPr>
          <w:rFonts w:eastAsia="Times New Roman"/>
        </w:rPr>
        <w:t xml:space="preserve"> of any RG2</w:t>
      </w:r>
      <w:r w:rsidR="000F32E4" w:rsidRPr="00074082">
        <w:rPr>
          <w:rFonts w:eastAsia="Times New Roman"/>
        </w:rPr>
        <w:t xml:space="preserve"> or higher</w:t>
      </w:r>
      <w:r w:rsidRPr="00074082">
        <w:rPr>
          <w:rFonts w:eastAsia="Times New Roman"/>
        </w:rPr>
        <w:t xml:space="preserve"> agents present.</w:t>
      </w:r>
    </w:p>
    <w:p w14:paraId="134A0517" w14:textId="60FEAF3A" w:rsidR="000F57E9" w:rsidRPr="00074082" w:rsidRDefault="000F57E9" w:rsidP="00DE3EE6">
      <w:pPr>
        <w:pStyle w:val="NormalWeb"/>
        <w:numPr>
          <w:ilvl w:val="0"/>
          <w:numId w:val="15"/>
        </w:numPr>
        <w:rPr>
          <w:rFonts w:cs="Arial"/>
        </w:rPr>
      </w:pPr>
      <w:r w:rsidRPr="00074082">
        <w:rPr>
          <w:rFonts w:cs="Arial"/>
        </w:rPr>
        <w:t>Descri</w:t>
      </w:r>
      <w:r w:rsidR="00A3540C" w:rsidRPr="00074082">
        <w:rPr>
          <w:rFonts w:cs="Arial"/>
        </w:rPr>
        <w:t>be</w:t>
      </w:r>
      <w:r w:rsidRPr="00074082">
        <w:rPr>
          <w:rFonts w:cs="Arial"/>
        </w:rPr>
        <w:t xml:space="preserve"> </w:t>
      </w:r>
      <w:r w:rsidR="00CF33B1" w:rsidRPr="00074082">
        <w:rPr>
          <w:rFonts w:cs="Arial"/>
        </w:rPr>
        <w:t xml:space="preserve">safety </w:t>
      </w:r>
      <w:r w:rsidRPr="00074082">
        <w:rPr>
          <w:rFonts w:cs="Arial"/>
        </w:rPr>
        <w:t>protocols used for handling the animals</w:t>
      </w:r>
      <w:r w:rsidR="00A3540C" w:rsidRPr="00074082">
        <w:rPr>
          <w:rFonts w:cs="Arial"/>
        </w:rPr>
        <w:t>, including any</w:t>
      </w:r>
      <w:r w:rsidR="00CF33B1" w:rsidRPr="00074082">
        <w:rPr>
          <w:rFonts w:cs="Arial"/>
        </w:rPr>
        <w:t xml:space="preserve"> </w:t>
      </w:r>
      <w:r w:rsidRPr="00074082">
        <w:rPr>
          <w:rFonts w:cs="Arial"/>
        </w:rPr>
        <w:t xml:space="preserve">PPE </w:t>
      </w:r>
      <w:r w:rsidR="00CF33B1" w:rsidRPr="00074082">
        <w:rPr>
          <w:rFonts w:cs="Arial"/>
        </w:rPr>
        <w:t>required and/or recommended for</w:t>
      </w:r>
      <w:r w:rsidRPr="00074082">
        <w:rPr>
          <w:rFonts w:cs="Arial"/>
        </w:rPr>
        <w:t xml:space="preserve"> handling the animals</w:t>
      </w:r>
      <w:r w:rsidR="00A3540C" w:rsidRPr="00074082">
        <w:rPr>
          <w:rFonts w:cs="Arial"/>
        </w:rPr>
        <w:t>.</w:t>
      </w:r>
    </w:p>
    <w:p w14:paraId="0BF02A80" w14:textId="14B7F40E" w:rsidR="00BB2C39" w:rsidRPr="00074082" w:rsidRDefault="000F57E9" w:rsidP="000F57E9">
      <w:pPr>
        <w:pStyle w:val="NormalWeb"/>
        <w:numPr>
          <w:ilvl w:val="0"/>
          <w:numId w:val="15"/>
        </w:numPr>
        <w:rPr>
          <w:rFonts w:cs="Arial"/>
        </w:rPr>
      </w:pPr>
      <w:r w:rsidRPr="00074082">
        <w:rPr>
          <w:rFonts w:cs="Arial"/>
        </w:rPr>
        <w:t>List lab spaces used for handling</w:t>
      </w:r>
      <w:r w:rsidR="00CF33B1" w:rsidRPr="00074082">
        <w:rPr>
          <w:rFonts w:cs="Arial"/>
        </w:rPr>
        <w:t>/housing</w:t>
      </w:r>
      <w:r w:rsidRPr="00074082">
        <w:rPr>
          <w:rFonts w:cs="Arial"/>
        </w:rPr>
        <w:t xml:space="preserve"> the animals</w:t>
      </w:r>
      <w:r w:rsidR="00BB2C39" w:rsidRPr="00074082">
        <w:rPr>
          <w:rFonts w:cs="Arial"/>
        </w:rPr>
        <w:t xml:space="preserve"> </w:t>
      </w:r>
      <w:r w:rsidR="00A3540C" w:rsidRPr="00074082">
        <w:rPr>
          <w:rFonts w:cs="Arial"/>
        </w:rPr>
        <w:t>and for</w:t>
      </w:r>
      <w:r w:rsidR="00BB2C39" w:rsidRPr="00074082">
        <w:rPr>
          <w:rFonts w:cs="Arial"/>
        </w:rPr>
        <w:t xml:space="preserve"> storage of any waste materials (used PPE, animal carcasses, etc.) generated from the </w:t>
      </w:r>
      <w:r w:rsidR="00A3540C" w:rsidRPr="00074082">
        <w:rPr>
          <w:rFonts w:cs="Arial"/>
        </w:rPr>
        <w:t>activity.</w:t>
      </w:r>
    </w:p>
    <w:p w14:paraId="66588917" w14:textId="6E968F08" w:rsidR="000F57E9" w:rsidRPr="00074082" w:rsidRDefault="00BB2C39" w:rsidP="000F57E9">
      <w:pPr>
        <w:pStyle w:val="NormalWeb"/>
        <w:numPr>
          <w:ilvl w:val="0"/>
          <w:numId w:val="15"/>
        </w:numPr>
        <w:rPr>
          <w:rFonts w:cs="Arial"/>
        </w:rPr>
      </w:pPr>
      <w:r w:rsidRPr="00074082">
        <w:rPr>
          <w:rFonts w:cs="Arial"/>
        </w:rPr>
        <w:t>Descri</w:t>
      </w:r>
      <w:r w:rsidR="00A3540C" w:rsidRPr="00074082">
        <w:rPr>
          <w:rFonts w:cs="Arial"/>
        </w:rPr>
        <w:t>be protocols for disposal of</w:t>
      </w:r>
      <w:r w:rsidR="00CF33B1" w:rsidRPr="00074082">
        <w:rPr>
          <w:rFonts w:cs="Arial"/>
        </w:rPr>
        <w:t xml:space="preserve"> animal carcass and/or </w:t>
      </w:r>
      <w:r w:rsidR="00A3540C" w:rsidRPr="00074082">
        <w:rPr>
          <w:rFonts w:cs="Arial"/>
        </w:rPr>
        <w:t xml:space="preserve">other </w:t>
      </w:r>
      <w:r w:rsidR="00CF33B1" w:rsidRPr="00074082">
        <w:rPr>
          <w:rFonts w:cs="Arial"/>
        </w:rPr>
        <w:t xml:space="preserve">waste material and </w:t>
      </w:r>
      <w:r w:rsidR="00A3540C" w:rsidRPr="00074082">
        <w:rPr>
          <w:rFonts w:cs="Arial"/>
        </w:rPr>
        <w:t xml:space="preserve">list the </w:t>
      </w:r>
      <w:r w:rsidR="00CF33B1" w:rsidRPr="00074082">
        <w:rPr>
          <w:rFonts w:cs="Arial"/>
        </w:rPr>
        <w:t xml:space="preserve">location of </w:t>
      </w:r>
      <w:r w:rsidR="00A3540C" w:rsidRPr="00074082">
        <w:rPr>
          <w:rFonts w:cs="Arial"/>
        </w:rPr>
        <w:t xml:space="preserve">any </w:t>
      </w:r>
      <w:r w:rsidR="00CF33B1" w:rsidRPr="00074082">
        <w:rPr>
          <w:rFonts w:cs="Arial"/>
        </w:rPr>
        <w:t>equipment used for disposal or companies contracted for disposal</w:t>
      </w:r>
      <w:bookmarkEnd w:id="0"/>
      <w:r w:rsidR="00A3540C" w:rsidRPr="00074082">
        <w:rPr>
          <w:rFonts w:cs="Arial"/>
        </w:rPr>
        <w:t>.</w:t>
      </w:r>
    </w:p>
    <w:p w14:paraId="25711677" w14:textId="5D70EA7C" w:rsidR="00590A97" w:rsidRPr="00BA50A7" w:rsidRDefault="00590A97" w:rsidP="00590A97">
      <w:pPr>
        <w:spacing w:after="0"/>
        <w:textAlignment w:val="baseline"/>
        <w:rPr>
          <w:rFonts w:cs="Times New Roman"/>
          <w:b/>
          <w:szCs w:val="24"/>
        </w:rPr>
      </w:pPr>
      <w:r w:rsidRPr="00BA50A7">
        <w:rPr>
          <w:rFonts w:cs="Times New Roman"/>
          <w:b/>
          <w:szCs w:val="24"/>
        </w:rPr>
        <w:t>C.</w:t>
      </w:r>
      <w:r w:rsidR="009D4B8E" w:rsidRPr="00BA50A7">
        <w:rPr>
          <w:rFonts w:cs="Times New Roman"/>
          <w:b/>
          <w:szCs w:val="24"/>
        </w:rPr>
        <w:t xml:space="preserve"> </w:t>
      </w:r>
      <w:r w:rsidR="00512E0B" w:rsidRPr="00BA50A7">
        <w:rPr>
          <w:rFonts w:cs="Times New Roman"/>
          <w:b/>
          <w:szCs w:val="24"/>
        </w:rPr>
        <w:t xml:space="preserve">Applications </w:t>
      </w:r>
      <w:r w:rsidRPr="00BA50A7">
        <w:rPr>
          <w:rFonts w:cs="Times New Roman"/>
          <w:b/>
          <w:szCs w:val="24"/>
        </w:rPr>
        <w:t>Review</w:t>
      </w:r>
      <w:r w:rsidR="00512E0B" w:rsidRPr="00BA50A7">
        <w:rPr>
          <w:rFonts w:cs="Times New Roman"/>
          <w:b/>
          <w:szCs w:val="24"/>
        </w:rPr>
        <w:t>ed by the</w:t>
      </w:r>
      <w:r w:rsidRPr="00BA50A7">
        <w:rPr>
          <w:rFonts w:cs="Times New Roman"/>
          <w:b/>
          <w:szCs w:val="24"/>
        </w:rPr>
        <w:t xml:space="preserve"> IBC </w:t>
      </w:r>
    </w:p>
    <w:p w14:paraId="0809D2E1" w14:textId="5CB78013" w:rsidR="009851DF" w:rsidRPr="00BA50A7" w:rsidRDefault="009851DF" w:rsidP="00590A97">
      <w:pPr>
        <w:pStyle w:val="ListParagraph"/>
        <w:numPr>
          <w:ilvl w:val="0"/>
          <w:numId w:val="6"/>
        </w:numPr>
        <w:spacing w:before="240" w:beforeAutospacing="0" w:after="0" w:afterAutospacing="0" w:line="259" w:lineRule="auto"/>
        <w:contextualSpacing/>
        <w:textAlignment w:val="baseline"/>
      </w:pPr>
      <w:r w:rsidRPr="00BA50A7">
        <w:rPr>
          <w:b/>
          <w:bCs/>
        </w:rPr>
        <w:t xml:space="preserve">Submission of the BPA: </w:t>
      </w:r>
      <w:r w:rsidRPr="00BA50A7">
        <w:t xml:space="preserve">The BPA form is available from the UWSP IBC website. If your work is </w:t>
      </w:r>
      <w:r w:rsidRPr="00BA50A7">
        <w:rPr>
          <w:b/>
          <w:bCs/>
          <w:u w:val="single"/>
        </w:rPr>
        <w:t>exempt</w:t>
      </w:r>
      <w:r w:rsidRPr="00BA50A7">
        <w:t>, you must complete parts 1</w:t>
      </w:r>
      <w:r w:rsidR="00A3540C">
        <w:t>,</w:t>
      </w:r>
      <w:r w:rsidRPr="00BA50A7">
        <w:t xml:space="preserve"> 2</w:t>
      </w:r>
      <w:r w:rsidR="00A3540C">
        <w:t xml:space="preserve">, </w:t>
      </w:r>
      <w:r w:rsidR="00A3540C" w:rsidRPr="00074082">
        <w:t>and 3</w:t>
      </w:r>
      <w:r w:rsidR="004B24AB" w:rsidRPr="00074082">
        <w:t>-1</w:t>
      </w:r>
      <w:r w:rsidRPr="00BA50A7">
        <w:t xml:space="preserve"> of the BPA. If your work is </w:t>
      </w:r>
      <w:r w:rsidRPr="00BA50A7">
        <w:rPr>
          <w:b/>
          <w:bCs/>
          <w:u w:val="single"/>
        </w:rPr>
        <w:t>non-exempt</w:t>
      </w:r>
      <w:r w:rsidRPr="00BA50A7">
        <w:t xml:space="preserve">, you must complete </w:t>
      </w:r>
      <w:r w:rsidR="001B3B6F">
        <w:t>all applicable sections of the</w:t>
      </w:r>
      <w:r w:rsidRPr="00BA50A7">
        <w:t xml:space="preserve"> BPA.</w:t>
      </w:r>
    </w:p>
    <w:p w14:paraId="7E778F05" w14:textId="71B3567C" w:rsidR="00590A97" w:rsidRPr="00BA50A7" w:rsidRDefault="00590A97" w:rsidP="00590A97">
      <w:pPr>
        <w:pStyle w:val="ListParagraph"/>
        <w:numPr>
          <w:ilvl w:val="0"/>
          <w:numId w:val="6"/>
        </w:numPr>
        <w:spacing w:before="240" w:beforeAutospacing="0" w:after="0" w:afterAutospacing="0" w:line="259" w:lineRule="auto"/>
        <w:contextualSpacing/>
        <w:textAlignment w:val="baseline"/>
      </w:pPr>
      <w:r w:rsidRPr="00BA50A7">
        <w:rPr>
          <w:b/>
        </w:rPr>
        <w:t xml:space="preserve">Initial </w:t>
      </w:r>
      <w:r w:rsidR="00512E0B" w:rsidRPr="00BA50A7">
        <w:rPr>
          <w:b/>
        </w:rPr>
        <w:t xml:space="preserve">Application </w:t>
      </w:r>
      <w:r w:rsidRPr="00BA50A7">
        <w:rPr>
          <w:b/>
        </w:rPr>
        <w:t xml:space="preserve">Review </w:t>
      </w:r>
      <w:r w:rsidR="00512E0B" w:rsidRPr="00BA50A7">
        <w:rPr>
          <w:b/>
        </w:rPr>
        <w:t>by the</w:t>
      </w:r>
      <w:r w:rsidRPr="00BA50A7">
        <w:rPr>
          <w:b/>
        </w:rPr>
        <w:t xml:space="preserve"> IBC</w:t>
      </w:r>
      <w:r w:rsidRPr="00BA50A7">
        <w:t>:</w:t>
      </w:r>
      <w:r w:rsidR="009D4B8E" w:rsidRPr="00BA50A7">
        <w:t xml:space="preserve"> </w:t>
      </w:r>
      <w:r w:rsidRPr="00BA50A7">
        <w:t xml:space="preserve">Initial review of </w:t>
      </w:r>
      <w:r w:rsidR="001256C6" w:rsidRPr="00BA50A7">
        <w:t>a</w:t>
      </w:r>
      <w:r w:rsidRPr="00BA50A7">
        <w:t xml:space="preserve">pplications will be conducted by the IBC </w:t>
      </w:r>
      <w:r w:rsidR="001256C6" w:rsidRPr="00BA50A7">
        <w:t>c</w:t>
      </w:r>
      <w:r w:rsidRPr="00BA50A7">
        <w:t xml:space="preserve">hair, or another member of the IBC designated by the IBC </w:t>
      </w:r>
      <w:r w:rsidR="001256C6" w:rsidRPr="00BA50A7">
        <w:t>c</w:t>
      </w:r>
      <w:r w:rsidRPr="00BA50A7">
        <w:t xml:space="preserve">hair. The initial review will determine what level of review </w:t>
      </w:r>
      <w:r w:rsidR="00A7762A" w:rsidRPr="00BA50A7">
        <w:t>(</w:t>
      </w:r>
      <w:r w:rsidR="00A7762A" w:rsidRPr="00BA50A7">
        <w:rPr>
          <w:b/>
        </w:rPr>
        <w:t>full committee</w:t>
      </w:r>
      <w:r w:rsidR="00A7762A" w:rsidRPr="00BA50A7">
        <w:t xml:space="preserve">, </w:t>
      </w:r>
      <w:r w:rsidR="00A7762A" w:rsidRPr="00BA50A7">
        <w:rPr>
          <w:b/>
        </w:rPr>
        <w:t>designated member</w:t>
      </w:r>
      <w:r w:rsidR="00A7762A" w:rsidRPr="00BA50A7">
        <w:t xml:space="preserve">, or </w:t>
      </w:r>
      <w:r w:rsidR="00A7762A" w:rsidRPr="00BA50A7">
        <w:rPr>
          <w:b/>
        </w:rPr>
        <w:t>administrative</w:t>
      </w:r>
      <w:r w:rsidR="00A7762A" w:rsidRPr="00BA50A7">
        <w:t xml:space="preserve">) </w:t>
      </w:r>
      <w:r w:rsidRPr="00BA50A7">
        <w:t>is necessary for the protocol based on the activities and whether the NIH Guidelines apply. The PI will be contacted by IBC staff to clarify any questions from the initial reviewer.</w:t>
      </w:r>
      <w:r w:rsidR="009D4B8E" w:rsidRPr="00BA50A7">
        <w:t xml:space="preserve"> </w:t>
      </w:r>
      <w:r w:rsidR="00B40214" w:rsidRPr="00BA50A7">
        <w:t>A primary reviewer(s) will be assigned by the chair.</w:t>
      </w:r>
      <w:r w:rsidR="009D4B8E" w:rsidRPr="00BA50A7">
        <w:t xml:space="preserve"> </w:t>
      </w:r>
      <w:r w:rsidR="00B40214" w:rsidRPr="00BA50A7">
        <w:rPr>
          <w:rFonts w:cs="Arial"/>
        </w:rPr>
        <w:t>The reviewers will use the respective checklists from the IBC for consideration of the applications.</w:t>
      </w:r>
    </w:p>
    <w:p w14:paraId="7B5B1000" w14:textId="74F1D5F6" w:rsidR="00A7762A" w:rsidRPr="00BA50A7" w:rsidRDefault="00590A97" w:rsidP="00A7762A">
      <w:pPr>
        <w:pStyle w:val="ListParagraph"/>
        <w:numPr>
          <w:ilvl w:val="0"/>
          <w:numId w:val="6"/>
        </w:numPr>
        <w:spacing w:before="0" w:beforeAutospacing="0" w:after="0" w:afterAutospacing="0"/>
        <w:contextualSpacing/>
        <w:textAlignment w:val="baseline"/>
        <w:rPr>
          <w:b/>
        </w:rPr>
      </w:pPr>
      <w:r w:rsidRPr="00BA50A7">
        <w:rPr>
          <w:b/>
        </w:rPr>
        <w:t>IBC Coordination of Review with other Institutional Oversight Committees (IACUC or IRB):</w:t>
      </w:r>
      <w:r w:rsidR="003F7973" w:rsidRPr="00BA50A7">
        <w:rPr>
          <w:b/>
        </w:rPr>
        <w:t xml:space="preserve"> </w:t>
      </w:r>
      <w:r w:rsidRPr="00BA50A7">
        <w:t>Order of review is not prescribed in the NIH Guidelines.</w:t>
      </w:r>
      <w:r w:rsidR="009D4B8E" w:rsidRPr="00BA50A7">
        <w:t xml:space="preserve"> </w:t>
      </w:r>
      <w:r w:rsidRPr="00BA50A7">
        <w:t>UW</w:t>
      </w:r>
      <w:r w:rsidR="003F7973" w:rsidRPr="00BA50A7">
        <w:t>SP</w:t>
      </w:r>
      <w:r w:rsidRPr="00BA50A7">
        <w:t xml:space="preserve"> requests that research or teaching activities that require IBC review and additional institutional </w:t>
      </w:r>
      <w:r w:rsidRPr="00BA50A7">
        <w:lastRenderedPageBreak/>
        <w:t>oversight (</w:t>
      </w:r>
      <w:r w:rsidRPr="00BA50A7">
        <w:rPr>
          <w:i/>
        </w:rPr>
        <w:t>i.e.</w:t>
      </w:r>
      <w:r w:rsidRPr="00BA50A7">
        <w:t xml:space="preserve"> IACUC or IBC review) submit the application</w:t>
      </w:r>
      <w:r w:rsidR="00CB1636" w:rsidRPr="00BA50A7">
        <w:t>s</w:t>
      </w:r>
      <w:r w:rsidRPr="00BA50A7">
        <w:t xml:space="preserve"> simultaneously.</w:t>
      </w:r>
      <w:r w:rsidR="009D4B8E" w:rsidRPr="00BA50A7">
        <w:t xml:space="preserve"> </w:t>
      </w:r>
      <w:r w:rsidRPr="00BA50A7">
        <w:t xml:space="preserve">Approval of the protocol </w:t>
      </w:r>
      <w:r w:rsidR="00CB1636" w:rsidRPr="00BA50A7">
        <w:t xml:space="preserve">by the IBC </w:t>
      </w:r>
      <w:r w:rsidRPr="00BA50A7">
        <w:t xml:space="preserve">will be contingent </w:t>
      </w:r>
      <w:r w:rsidR="00CB1636" w:rsidRPr="00BA50A7">
        <w:t>up</w:t>
      </w:r>
      <w:r w:rsidRPr="00BA50A7">
        <w:t xml:space="preserve">on approval </w:t>
      </w:r>
      <w:r w:rsidR="00CB1636" w:rsidRPr="00BA50A7">
        <w:t>by</w:t>
      </w:r>
      <w:r w:rsidRPr="00BA50A7">
        <w:t xml:space="preserve"> the additional oversight committee</w:t>
      </w:r>
      <w:r w:rsidR="00CB1636" w:rsidRPr="00BA50A7">
        <w:t>(s)</w:t>
      </w:r>
      <w:r w:rsidRPr="00BA50A7">
        <w:t>.</w:t>
      </w:r>
      <w:r w:rsidR="009D4B8E" w:rsidRPr="00BA50A7">
        <w:t xml:space="preserve"> </w:t>
      </w:r>
    </w:p>
    <w:p w14:paraId="24C53B8E" w14:textId="15E085C6" w:rsidR="00590A97" w:rsidRPr="00BA50A7" w:rsidRDefault="00590A97" w:rsidP="00590A97">
      <w:pPr>
        <w:pStyle w:val="ListParagraph"/>
        <w:numPr>
          <w:ilvl w:val="0"/>
          <w:numId w:val="6"/>
        </w:numPr>
        <w:spacing w:before="0" w:beforeAutospacing="0" w:after="0" w:afterAutospacing="0"/>
        <w:contextualSpacing/>
        <w:textAlignment w:val="baseline"/>
        <w:rPr>
          <w:b/>
        </w:rPr>
      </w:pPr>
      <w:r w:rsidRPr="00BA50A7">
        <w:rPr>
          <w:b/>
        </w:rPr>
        <w:t xml:space="preserve">Procedure for Full Committee Review </w:t>
      </w:r>
    </w:p>
    <w:p w14:paraId="6F60F3B4" w14:textId="2E34B008" w:rsidR="000C5462" w:rsidRPr="00BA50A7" w:rsidRDefault="000C5462" w:rsidP="0048489C">
      <w:pPr>
        <w:pStyle w:val="ListParagraph"/>
        <w:numPr>
          <w:ilvl w:val="0"/>
          <w:numId w:val="12"/>
        </w:numPr>
        <w:spacing w:before="0" w:beforeAutospacing="0" w:after="160" w:afterAutospacing="0" w:line="259" w:lineRule="auto"/>
        <w:ind w:left="990"/>
        <w:contextualSpacing/>
      </w:pPr>
      <w:r w:rsidRPr="00BA50A7">
        <w:t xml:space="preserve">Required for </w:t>
      </w:r>
      <w:r w:rsidR="003C555C" w:rsidRPr="00BA50A7">
        <w:t xml:space="preserve">non-exempt </w:t>
      </w:r>
      <w:r w:rsidRPr="00BA50A7">
        <w:t>protocols.</w:t>
      </w:r>
    </w:p>
    <w:p w14:paraId="05A8B03C" w14:textId="2A23B94E" w:rsidR="00590A97" w:rsidRPr="00BA50A7" w:rsidRDefault="00590A97" w:rsidP="0048489C">
      <w:pPr>
        <w:pStyle w:val="ListParagraph"/>
        <w:numPr>
          <w:ilvl w:val="0"/>
          <w:numId w:val="12"/>
        </w:numPr>
        <w:spacing w:before="0" w:beforeAutospacing="0" w:after="160" w:afterAutospacing="0" w:line="259" w:lineRule="auto"/>
        <w:ind w:left="990"/>
        <w:contextualSpacing/>
      </w:pPr>
      <w:r w:rsidRPr="00BA50A7">
        <w:t xml:space="preserve">IBC </w:t>
      </w:r>
      <w:r w:rsidR="001256C6" w:rsidRPr="00BA50A7">
        <w:t>a</w:t>
      </w:r>
      <w:r w:rsidRPr="00BA50A7">
        <w:t>dministration confirms a meeting date when a quorum can be present, prepares the meeting agenda</w:t>
      </w:r>
      <w:r w:rsidR="001256C6" w:rsidRPr="00BA50A7">
        <w:t>,</w:t>
      </w:r>
      <w:r w:rsidRPr="00BA50A7">
        <w:t xml:space="preserve"> and distributes the materials to the IBC </w:t>
      </w:r>
      <w:r w:rsidR="001F1247" w:rsidRPr="00BA50A7">
        <w:t>two</w:t>
      </w:r>
      <w:r w:rsidRPr="00BA50A7">
        <w:t xml:space="preserve"> week</w:t>
      </w:r>
      <w:r w:rsidR="001F1247" w:rsidRPr="00BA50A7">
        <w:t>s</w:t>
      </w:r>
      <w:r w:rsidRPr="00BA50A7">
        <w:t xml:space="preserve"> prior to the meeting.</w:t>
      </w:r>
      <w:r w:rsidR="001256C6" w:rsidRPr="00BA50A7">
        <w:t xml:space="preserve"> </w:t>
      </w:r>
      <w:r w:rsidRPr="00BA50A7">
        <w:t>The PI</w:t>
      </w:r>
      <w:r w:rsidR="001256C6" w:rsidRPr="00BA50A7">
        <w:t xml:space="preserve"> </w:t>
      </w:r>
      <w:r w:rsidRPr="00BA50A7">
        <w:t xml:space="preserve">may be requested </w:t>
      </w:r>
      <w:r w:rsidR="001256C6" w:rsidRPr="00BA50A7">
        <w:t xml:space="preserve">to be present </w:t>
      </w:r>
      <w:r w:rsidRPr="00BA50A7">
        <w:t>to explain the proposed research and answer any questions.</w:t>
      </w:r>
      <w:r w:rsidR="009D4B8E" w:rsidRPr="00BA50A7">
        <w:t xml:space="preserve"> </w:t>
      </w:r>
      <w:r w:rsidR="000C5462" w:rsidRPr="00BA50A7">
        <w:t>The primary reviewer will present their findings to the committee.</w:t>
      </w:r>
    </w:p>
    <w:p w14:paraId="337D968F" w14:textId="11D08D68" w:rsidR="00590A97" w:rsidRPr="00BA50A7" w:rsidRDefault="00590A97" w:rsidP="0048489C">
      <w:pPr>
        <w:pStyle w:val="ListParagraph"/>
        <w:numPr>
          <w:ilvl w:val="0"/>
          <w:numId w:val="12"/>
        </w:numPr>
        <w:spacing w:before="0" w:beforeAutospacing="0" w:after="160" w:afterAutospacing="0" w:line="259" w:lineRule="auto"/>
        <w:ind w:left="990"/>
        <w:contextualSpacing/>
      </w:pPr>
      <w:r w:rsidRPr="00BA50A7">
        <w:t xml:space="preserve">IBC members who have a conflict of interest with the presented protocol may be present to answer questions </w:t>
      </w:r>
      <w:r w:rsidR="0048489C" w:rsidRPr="00BA50A7">
        <w:t xml:space="preserve">but will </w:t>
      </w:r>
      <w:r w:rsidR="001256C6" w:rsidRPr="00BA50A7">
        <w:t>abstain from voting</w:t>
      </w:r>
      <w:r w:rsidRPr="00BA50A7">
        <w:t>.</w:t>
      </w:r>
      <w:r w:rsidR="009D4B8E" w:rsidRPr="00BA50A7">
        <w:t xml:space="preserve"> </w:t>
      </w:r>
    </w:p>
    <w:p w14:paraId="5AB1451F" w14:textId="1628F2C9" w:rsidR="00590A97" w:rsidRPr="00BA50A7" w:rsidRDefault="0048489C" w:rsidP="0048489C">
      <w:pPr>
        <w:pStyle w:val="ListParagraph"/>
        <w:numPr>
          <w:ilvl w:val="0"/>
          <w:numId w:val="12"/>
        </w:numPr>
        <w:spacing w:before="0" w:beforeAutospacing="0" w:after="160" w:afterAutospacing="0" w:line="259" w:lineRule="auto"/>
        <w:ind w:left="990"/>
        <w:contextualSpacing/>
      </w:pPr>
      <w:r w:rsidRPr="00BA50A7">
        <w:t>Members will be physically present</w:t>
      </w:r>
      <w:r w:rsidR="00590A97" w:rsidRPr="00BA50A7">
        <w:t xml:space="preserve">, however, in rare circumstances teleconference or videoconference in </w:t>
      </w:r>
      <w:r w:rsidR="001256C6" w:rsidRPr="00BA50A7">
        <w:t>real</w:t>
      </w:r>
      <w:r w:rsidR="00590A97" w:rsidRPr="00BA50A7">
        <w:t xml:space="preserve"> time may be </w:t>
      </w:r>
      <w:r w:rsidR="001256C6" w:rsidRPr="00BA50A7">
        <w:t>utilized</w:t>
      </w:r>
      <w:r w:rsidR="00590A97" w:rsidRPr="00BA50A7">
        <w:t>.</w:t>
      </w:r>
      <w:r w:rsidR="009D4B8E" w:rsidRPr="00BA50A7">
        <w:t xml:space="preserve"> </w:t>
      </w:r>
      <w:r w:rsidR="00590A97" w:rsidRPr="00BA50A7">
        <w:t>If a protocol involving plants is on the agenda, the member with plant expertise will be present or submit their review comments in advance.</w:t>
      </w:r>
      <w:r w:rsidR="009D4B8E" w:rsidRPr="00BA50A7">
        <w:t xml:space="preserve"> </w:t>
      </w:r>
      <w:r w:rsidR="00590A97" w:rsidRPr="00BA50A7">
        <w:t>If a protocol involving animals is on the agenda, the member with animal expertise will be present or submit their review comments in advance.</w:t>
      </w:r>
      <w:r w:rsidR="009D4B8E" w:rsidRPr="00BA50A7">
        <w:t xml:space="preserve"> </w:t>
      </w:r>
      <w:r w:rsidR="00590A97" w:rsidRPr="00BA50A7">
        <w:t>The biosafety officer will be present or submit any review comments or concerns in advance.</w:t>
      </w:r>
    </w:p>
    <w:p w14:paraId="5DB594D2" w14:textId="07EE74AB" w:rsidR="00590A97" w:rsidRPr="00BA50A7" w:rsidRDefault="00590A97" w:rsidP="0048489C">
      <w:pPr>
        <w:pStyle w:val="ListParagraph"/>
        <w:numPr>
          <w:ilvl w:val="0"/>
          <w:numId w:val="12"/>
        </w:numPr>
        <w:spacing w:before="0" w:beforeAutospacing="0" w:after="160" w:afterAutospacing="0" w:line="259" w:lineRule="auto"/>
        <w:ind w:left="990"/>
        <w:contextualSpacing/>
      </w:pPr>
      <w:r w:rsidRPr="00BA50A7">
        <w:t>Minutes of meetings are recorded and will include any dissenting views and resolution through vote.</w:t>
      </w:r>
      <w:r w:rsidR="009D4B8E" w:rsidRPr="00BA50A7">
        <w:t xml:space="preserve"> </w:t>
      </w:r>
      <w:r w:rsidRPr="00BA50A7">
        <w:t>The minutes are shared with the committee following the meeting.</w:t>
      </w:r>
    </w:p>
    <w:p w14:paraId="76E760A2" w14:textId="7B362F21" w:rsidR="00A7762A" w:rsidRPr="00BA50A7" w:rsidRDefault="008A7BE0" w:rsidP="008A7BE0">
      <w:pPr>
        <w:ind w:left="630" w:hanging="360"/>
        <w:contextualSpacing/>
      </w:pPr>
      <w:r w:rsidRPr="00BA50A7">
        <w:t>4.</w:t>
      </w:r>
      <w:r w:rsidRPr="00BA50A7">
        <w:tab/>
      </w:r>
      <w:r w:rsidRPr="00BA50A7">
        <w:rPr>
          <w:b/>
        </w:rPr>
        <w:t>D</w:t>
      </w:r>
      <w:r w:rsidR="00A7762A" w:rsidRPr="00BA50A7">
        <w:rPr>
          <w:b/>
        </w:rPr>
        <w:t xml:space="preserve">esignated </w:t>
      </w:r>
      <w:r w:rsidRPr="00BA50A7">
        <w:rPr>
          <w:b/>
        </w:rPr>
        <w:t>M</w:t>
      </w:r>
      <w:r w:rsidR="00A7762A" w:rsidRPr="00BA50A7">
        <w:rPr>
          <w:b/>
        </w:rPr>
        <w:t xml:space="preserve">ember </w:t>
      </w:r>
      <w:r w:rsidRPr="00BA50A7">
        <w:rPr>
          <w:b/>
        </w:rPr>
        <w:t>R</w:t>
      </w:r>
      <w:r w:rsidR="00A7762A" w:rsidRPr="00BA50A7">
        <w:rPr>
          <w:b/>
        </w:rPr>
        <w:t>eview</w:t>
      </w:r>
      <w:r w:rsidR="008225AE" w:rsidRPr="00BA50A7">
        <w:rPr>
          <w:b/>
        </w:rPr>
        <w:t>:</w:t>
      </w:r>
      <w:r w:rsidR="00A7762A" w:rsidRPr="00BA50A7">
        <w:t xml:space="preserve"> may be used </w:t>
      </w:r>
      <w:r w:rsidR="002E7510" w:rsidRPr="00BA50A7">
        <w:t>for</w:t>
      </w:r>
      <w:r w:rsidR="001F1247" w:rsidRPr="00BA50A7">
        <w:t xml:space="preserve"> evaluation of exempt protocol</w:t>
      </w:r>
      <w:r w:rsidR="009D4B8E" w:rsidRPr="00BA50A7">
        <w:t xml:space="preserve"> applications</w:t>
      </w:r>
      <w:r w:rsidR="001F1247" w:rsidRPr="00BA50A7">
        <w:t xml:space="preserve"> or when</w:t>
      </w:r>
      <w:r w:rsidR="00A7762A" w:rsidRPr="00BA50A7">
        <w:t xml:space="preserve"> changes </w:t>
      </w:r>
      <w:r w:rsidR="00B40214" w:rsidRPr="00BA50A7">
        <w:t xml:space="preserve">to existing protocols </w:t>
      </w:r>
      <w:r w:rsidR="001F1247" w:rsidRPr="00BA50A7">
        <w:t>are made</w:t>
      </w:r>
      <w:r w:rsidR="00A7762A" w:rsidRPr="00BA50A7">
        <w:t>.</w:t>
      </w:r>
      <w:r w:rsidR="009D4B8E" w:rsidRPr="00BA50A7">
        <w:t xml:space="preserve"> </w:t>
      </w:r>
      <w:r w:rsidR="00A7762A" w:rsidRPr="00BA50A7">
        <w:t>The IBC Chair or an IBC member delegated by the chair (i.e.</w:t>
      </w:r>
      <w:r w:rsidR="00B40214" w:rsidRPr="00BA50A7">
        <w:t>,</w:t>
      </w:r>
      <w:r w:rsidR="00A7762A" w:rsidRPr="00BA50A7">
        <w:t xml:space="preserve"> primary reviewer) may verify that the changes have been made satisfactorily. If the IBC uses </w:t>
      </w:r>
      <w:r w:rsidRPr="00BA50A7">
        <w:t>d</w:t>
      </w:r>
      <w:r w:rsidR="00A7762A" w:rsidRPr="00BA50A7">
        <w:t xml:space="preserve">esignated </w:t>
      </w:r>
      <w:r w:rsidR="00B40214" w:rsidRPr="00BA50A7">
        <w:t>m</w:t>
      </w:r>
      <w:r w:rsidR="00A7762A" w:rsidRPr="00BA50A7">
        <w:t xml:space="preserve">ember </w:t>
      </w:r>
      <w:r w:rsidRPr="00BA50A7">
        <w:t>r</w:t>
      </w:r>
      <w:r w:rsidR="00A7762A" w:rsidRPr="00BA50A7">
        <w:t xml:space="preserve">eview subsequent to </w:t>
      </w:r>
      <w:r w:rsidRPr="00BA50A7">
        <w:t>f</w:t>
      </w:r>
      <w:r w:rsidR="00A7762A" w:rsidRPr="00BA50A7">
        <w:t xml:space="preserve">ull </w:t>
      </w:r>
      <w:r w:rsidRPr="00BA50A7">
        <w:t>c</w:t>
      </w:r>
      <w:r w:rsidR="00A7762A" w:rsidRPr="00BA50A7">
        <w:t xml:space="preserve">ommittee </w:t>
      </w:r>
      <w:r w:rsidRPr="00BA50A7">
        <w:t>r</w:t>
      </w:r>
      <w:r w:rsidR="00A7762A" w:rsidRPr="00BA50A7">
        <w:t>eview, the approval date is the date that the designated IBC member(s) were satisfied with the revisions made.</w:t>
      </w:r>
    </w:p>
    <w:p w14:paraId="3D5D868E" w14:textId="6A988A8D" w:rsidR="00A7762A" w:rsidRPr="00BA50A7" w:rsidRDefault="00A7762A" w:rsidP="008A7BE0">
      <w:pPr>
        <w:ind w:left="630" w:hanging="360"/>
        <w:contextualSpacing/>
      </w:pPr>
    </w:p>
    <w:p w14:paraId="5244ECE8" w14:textId="761D22B6" w:rsidR="00A7762A" w:rsidRPr="00BA50A7" w:rsidRDefault="008A7BE0" w:rsidP="00B40214">
      <w:pPr>
        <w:ind w:left="630" w:hanging="360"/>
        <w:contextualSpacing/>
      </w:pPr>
      <w:r w:rsidRPr="00BA50A7">
        <w:t>5.</w:t>
      </w:r>
      <w:r w:rsidRPr="00BA50A7">
        <w:tab/>
      </w:r>
      <w:r w:rsidR="00A7762A" w:rsidRPr="00BA50A7">
        <w:rPr>
          <w:b/>
        </w:rPr>
        <w:t>Administrative Review</w:t>
      </w:r>
      <w:r w:rsidR="008225AE" w:rsidRPr="00BA50A7">
        <w:rPr>
          <w:b/>
        </w:rPr>
        <w:t>:</w:t>
      </w:r>
      <w:r w:rsidR="00A7762A" w:rsidRPr="00BA50A7">
        <w:t xml:space="preserve"> may be used to verify minor points of order</w:t>
      </w:r>
      <w:r w:rsidRPr="00BA50A7">
        <w:t xml:space="preserve"> or </w:t>
      </w:r>
      <w:r w:rsidR="00A7762A" w:rsidRPr="00BA50A7">
        <w:t>clarification</w:t>
      </w:r>
      <w:r w:rsidRPr="00BA50A7">
        <w:t>s</w:t>
      </w:r>
      <w:r w:rsidR="00A7762A" w:rsidRPr="00BA50A7">
        <w:t xml:space="preserve"> requested when determined through vote by the </w:t>
      </w:r>
      <w:r w:rsidRPr="00BA50A7">
        <w:t>full</w:t>
      </w:r>
      <w:r w:rsidR="00A7762A" w:rsidRPr="00BA50A7">
        <w:t xml:space="preserve"> IBC to be administrative in nature with no impact on biosafety.</w:t>
      </w:r>
      <w:r w:rsidR="009D4B8E" w:rsidRPr="00BA50A7">
        <w:t xml:space="preserve"> </w:t>
      </w:r>
      <w:r w:rsidR="00A7762A" w:rsidRPr="00BA50A7">
        <w:t>This review can be conducted by the IBC Administrator or IBC Chair.</w:t>
      </w:r>
      <w:r w:rsidR="009D4B8E" w:rsidRPr="00BA50A7">
        <w:t xml:space="preserve"> </w:t>
      </w:r>
      <w:r w:rsidR="00A7762A" w:rsidRPr="00BA50A7">
        <w:t>Example</w:t>
      </w:r>
      <w:r w:rsidRPr="00BA50A7">
        <w:t>s</w:t>
      </w:r>
      <w:r w:rsidR="00A7762A" w:rsidRPr="00BA50A7">
        <w:t xml:space="preserve"> of minor points of order/clarification</w:t>
      </w:r>
      <w:r w:rsidRPr="00BA50A7">
        <w:t xml:space="preserve"> include but are not limited to:</w:t>
      </w:r>
      <w:r w:rsidR="00A7762A" w:rsidRPr="00BA50A7">
        <w:t xml:space="preserve"> typographical or grammatical errors, funding source information, linking IRB or IACUC protocols, contact information, addition of personnel and verification of training, or verification of biosafety cabinet certification, etc.).</w:t>
      </w:r>
      <w:r w:rsidR="009D4B8E" w:rsidRPr="00BA50A7">
        <w:t xml:space="preserve"> </w:t>
      </w:r>
      <w:r w:rsidR="00A7762A" w:rsidRPr="00BA50A7">
        <w:t>If the IBC uses Administrative Review subsequent to Full Committee Review, the approval date is the date that the full committee approved the study pending the minor points of order/clarification.</w:t>
      </w:r>
    </w:p>
    <w:p w14:paraId="6207E97C" w14:textId="2DC18ECF" w:rsidR="00A7762A" w:rsidRPr="00BA50A7" w:rsidRDefault="00A7762A" w:rsidP="00A7762A">
      <w:pPr>
        <w:ind w:left="630"/>
        <w:contextualSpacing/>
      </w:pPr>
    </w:p>
    <w:p w14:paraId="69A5B018" w14:textId="0CA00393" w:rsidR="0048489C" w:rsidRPr="00BA50A7" w:rsidRDefault="0048489C" w:rsidP="0048489C">
      <w:pPr>
        <w:contextualSpacing/>
      </w:pPr>
      <w:r w:rsidRPr="00BA50A7">
        <w:rPr>
          <w:b/>
        </w:rPr>
        <w:t>D.</w:t>
      </w:r>
      <w:r w:rsidR="009D4B8E" w:rsidRPr="00BA50A7">
        <w:rPr>
          <w:b/>
        </w:rPr>
        <w:t xml:space="preserve"> </w:t>
      </w:r>
      <w:r w:rsidRPr="00BA50A7">
        <w:rPr>
          <w:b/>
        </w:rPr>
        <w:t>IBC Actions</w:t>
      </w:r>
    </w:p>
    <w:p w14:paraId="146172BF" w14:textId="6A637253" w:rsidR="0048489C" w:rsidRPr="00BA50A7" w:rsidRDefault="002E3A54" w:rsidP="002E3A54">
      <w:pPr>
        <w:pStyle w:val="ListParagraph"/>
        <w:ind w:left="630" w:hanging="270"/>
      </w:pPr>
      <w:r w:rsidRPr="00BA50A7">
        <w:t>Review by the IBC will result in one of the following:</w:t>
      </w:r>
      <w:r w:rsidR="009D4B8E" w:rsidRPr="00BA50A7">
        <w:t xml:space="preserve"> </w:t>
      </w:r>
    </w:p>
    <w:p w14:paraId="797BBDAF" w14:textId="7941A8D7" w:rsidR="0048489C" w:rsidRPr="00BA50A7" w:rsidRDefault="0048489C" w:rsidP="002E3A54">
      <w:pPr>
        <w:pStyle w:val="ListParagraph"/>
        <w:numPr>
          <w:ilvl w:val="0"/>
          <w:numId w:val="10"/>
        </w:numPr>
        <w:spacing w:before="0" w:beforeAutospacing="0" w:after="160" w:afterAutospacing="0" w:line="259" w:lineRule="auto"/>
        <w:ind w:left="990"/>
        <w:contextualSpacing/>
      </w:pPr>
      <w:r w:rsidRPr="00BA50A7">
        <w:t>Approval</w:t>
      </w:r>
      <w:r w:rsidR="00B20984" w:rsidRPr="00BA50A7">
        <w:t>-work may begin subject to NIH requirements.</w:t>
      </w:r>
    </w:p>
    <w:p w14:paraId="1B28DA89" w14:textId="723A77DC" w:rsidR="0048489C" w:rsidRPr="00BA50A7" w:rsidRDefault="002E3A54" w:rsidP="002E3A54">
      <w:pPr>
        <w:pStyle w:val="ListParagraph"/>
        <w:numPr>
          <w:ilvl w:val="0"/>
          <w:numId w:val="10"/>
        </w:numPr>
        <w:spacing w:before="0" w:beforeAutospacing="0" w:after="160" w:afterAutospacing="0" w:line="259" w:lineRule="auto"/>
        <w:ind w:left="990"/>
        <w:contextualSpacing/>
      </w:pPr>
      <w:r w:rsidRPr="00BA50A7">
        <w:lastRenderedPageBreak/>
        <w:t>A request to</w:t>
      </w:r>
      <w:r w:rsidR="0048489C" w:rsidRPr="00BA50A7">
        <w:t xml:space="preserve"> modif</w:t>
      </w:r>
      <w:r w:rsidRPr="00BA50A7">
        <w:t>y the protocol</w:t>
      </w:r>
      <w:r w:rsidR="0048489C" w:rsidRPr="00BA50A7">
        <w:t xml:space="preserve"> to secure approval</w:t>
      </w:r>
      <w:r w:rsidR="00B20984" w:rsidRPr="00BA50A7">
        <w:t>-the submitter will make the requested changes in consultation with the chair who will determine the subsequent level of review.</w:t>
      </w:r>
    </w:p>
    <w:p w14:paraId="09548C45" w14:textId="4AF98EF2" w:rsidR="0048489C" w:rsidRPr="00BA50A7" w:rsidRDefault="0048489C" w:rsidP="002E3A54">
      <w:pPr>
        <w:pStyle w:val="ListParagraph"/>
        <w:numPr>
          <w:ilvl w:val="0"/>
          <w:numId w:val="10"/>
        </w:numPr>
        <w:spacing w:before="0" w:beforeAutospacing="0" w:after="160" w:afterAutospacing="0" w:line="259" w:lineRule="auto"/>
        <w:ind w:left="990"/>
        <w:contextualSpacing/>
      </w:pPr>
      <w:r w:rsidRPr="00BA50A7">
        <w:t>Defer</w:t>
      </w:r>
      <w:r w:rsidR="002E3A54" w:rsidRPr="00BA50A7">
        <w:t>ment</w:t>
      </w:r>
      <w:r w:rsidRPr="00BA50A7">
        <w:t xml:space="preserve"> or tabl</w:t>
      </w:r>
      <w:r w:rsidR="002E3A54" w:rsidRPr="00BA50A7">
        <w:t>ing of</w:t>
      </w:r>
      <w:r w:rsidRPr="00BA50A7">
        <w:t xml:space="preserve"> </w:t>
      </w:r>
      <w:r w:rsidR="002E3A54" w:rsidRPr="00BA50A7">
        <w:t xml:space="preserve">the </w:t>
      </w:r>
      <w:r w:rsidRPr="00BA50A7">
        <w:t>protocol</w:t>
      </w:r>
      <w:r w:rsidR="00B20984" w:rsidRPr="00BA50A7">
        <w:t>-it will be on the agenda for the next meeting of the IBC.</w:t>
      </w:r>
    </w:p>
    <w:p w14:paraId="0B95E605" w14:textId="76343A08" w:rsidR="0048489C" w:rsidRPr="00BA50A7" w:rsidRDefault="0048489C" w:rsidP="002E3A54">
      <w:pPr>
        <w:pStyle w:val="ListParagraph"/>
        <w:numPr>
          <w:ilvl w:val="0"/>
          <w:numId w:val="10"/>
        </w:numPr>
        <w:spacing w:before="0" w:beforeAutospacing="0" w:after="160" w:afterAutospacing="0" w:line="259" w:lineRule="auto"/>
        <w:ind w:left="990"/>
        <w:contextualSpacing/>
      </w:pPr>
      <w:r w:rsidRPr="00BA50A7">
        <w:t>Withhold approval</w:t>
      </w:r>
      <w:r w:rsidR="002E3A54" w:rsidRPr="00BA50A7">
        <w:t>.</w:t>
      </w:r>
    </w:p>
    <w:p w14:paraId="4CA32A35" w14:textId="2A972346" w:rsidR="00D16085" w:rsidRPr="00BA50A7" w:rsidRDefault="00D16085" w:rsidP="002E3A54">
      <w:pPr>
        <w:pStyle w:val="ListParagraph"/>
        <w:numPr>
          <w:ilvl w:val="0"/>
          <w:numId w:val="10"/>
        </w:numPr>
        <w:spacing w:before="0" w:beforeAutospacing="0" w:after="160" w:afterAutospacing="0" w:line="259" w:lineRule="auto"/>
        <w:ind w:left="990"/>
        <w:contextualSpacing/>
      </w:pPr>
      <w:r w:rsidRPr="00BA50A7">
        <w:t>The PI will be notified in writing by IBC Administration of the determination made by the IBC.</w:t>
      </w:r>
    </w:p>
    <w:p w14:paraId="12E6699D" w14:textId="77777777" w:rsidR="002E3A54" w:rsidRPr="00BA50A7" w:rsidRDefault="002E3A54" w:rsidP="002E3A54">
      <w:pPr>
        <w:contextualSpacing/>
      </w:pPr>
    </w:p>
    <w:p w14:paraId="10A61514" w14:textId="5B7DB967" w:rsidR="0048489C" w:rsidRPr="00BA50A7" w:rsidRDefault="0048489C" w:rsidP="002E3A54">
      <w:pPr>
        <w:ind w:left="360"/>
        <w:contextualSpacing/>
      </w:pPr>
      <w:r w:rsidRPr="00BA50A7">
        <w:t xml:space="preserve">If approval is withheld, the IBC </w:t>
      </w:r>
      <w:r w:rsidR="002E3A54" w:rsidRPr="00BA50A7">
        <w:t>must</w:t>
      </w:r>
      <w:r w:rsidRPr="00BA50A7">
        <w:t xml:space="preserve"> provide </w:t>
      </w:r>
      <w:r w:rsidR="002E3A54" w:rsidRPr="00BA50A7">
        <w:t>the rationale</w:t>
      </w:r>
      <w:r w:rsidRPr="00BA50A7">
        <w:t xml:space="preserve"> in writing and give the PI an opportunity to respond or appeal the findings. The PI has the right to appeal the decision, within two weeks of notification from IBC </w:t>
      </w:r>
      <w:r w:rsidR="002E3A54" w:rsidRPr="00BA50A7">
        <w:t>that</w:t>
      </w:r>
      <w:r w:rsidRPr="00BA50A7">
        <w:t xml:space="preserve"> approval</w:t>
      </w:r>
      <w:r w:rsidR="002E3A54" w:rsidRPr="00BA50A7">
        <w:t xml:space="preserve"> has been withheld</w:t>
      </w:r>
      <w:r w:rsidRPr="00BA50A7">
        <w:t>. The appeal should be initiated by submitting a letter to the IBC Chair (</w:t>
      </w:r>
      <w:hyperlink r:id="rId9" w:history="1">
        <w:r w:rsidRPr="00BA50A7">
          <w:rPr>
            <w:rStyle w:val="Hyperlink"/>
          </w:rPr>
          <w:t>biosafety@uwsp.edu</w:t>
        </w:r>
      </w:hyperlink>
      <w:r w:rsidRPr="00BA50A7">
        <w:t>) addressing relevant issues.</w:t>
      </w:r>
      <w:r w:rsidR="009D4B8E" w:rsidRPr="00BA50A7">
        <w:t xml:space="preserve"> </w:t>
      </w:r>
      <w:r w:rsidRPr="00BA50A7">
        <w:t>The appeal will be discussed by the full committee.</w:t>
      </w:r>
      <w:r w:rsidR="009D4B8E" w:rsidRPr="00BA50A7">
        <w:t xml:space="preserve"> </w:t>
      </w:r>
      <w:r w:rsidRPr="00BA50A7">
        <w:t xml:space="preserve">Any decision to reverse a </w:t>
      </w:r>
      <w:r w:rsidR="002E3A54" w:rsidRPr="00BA50A7">
        <w:t>non-approved</w:t>
      </w:r>
      <w:r w:rsidRPr="00BA50A7">
        <w:t xml:space="preserve"> </w:t>
      </w:r>
      <w:r w:rsidR="002E3A54" w:rsidRPr="00BA50A7">
        <w:t>protocol</w:t>
      </w:r>
      <w:r w:rsidRPr="00BA50A7">
        <w:t xml:space="preserve"> requires a vote </w:t>
      </w:r>
      <w:r w:rsidR="002E3A54" w:rsidRPr="00BA50A7">
        <w:t>by the full committee</w:t>
      </w:r>
      <w:r w:rsidRPr="00BA50A7">
        <w:t xml:space="preserve">. </w:t>
      </w:r>
    </w:p>
    <w:p w14:paraId="1069CC6B" w14:textId="77777777" w:rsidR="00B20984" w:rsidRPr="00BA50A7" w:rsidRDefault="00B20984" w:rsidP="002E3A54">
      <w:pPr>
        <w:ind w:left="360"/>
        <w:contextualSpacing/>
      </w:pPr>
    </w:p>
    <w:p w14:paraId="54D4417C" w14:textId="66144122" w:rsidR="00B20984" w:rsidRPr="00BA50A7" w:rsidRDefault="0048489C" w:rsidP="00B20984">
      <w:pPr>
        <w:ind w:left="360"/>
      </w:pPr>
      <w:r w:rsidRPr="00BA50A7">
        <w:t>Protocols may be approved for a maximum period of 3 years.</w:t>
      </w:r>
      <w:r w:rsidR="009D4B8E" w:rsidRPr="00BA50A7">
        <w:t xml:space="preserve"> </w:t>
      </w:r>
      <w:r w:rsidRPr="00BA50A7">
        <w:t>The PI will be informed in writing of the IBC’s review decision.</w:t>
      </w:r>
      <w:r w:rsidR="009D4B8E" w:rsidRPr="00BA50A7">
        <w:t xml:space="preserve"> </w:t>
      </w:r>
      <w:r w:rsidRPr="00BA50A7">
        <w:t>The Department Chair or supervisor will be copied electronically on the correspondence.</w:t>
      </w:r>
      <w:r w:rsidR="009D4B8E" w:rsidRPr="00BA50A7">
        <w:t xml:space="preserve"> </w:t>
      </w:r>
    </w:p>
    <w:p w14:paraId="35EFEB57" w14:textId="3690D822" w:rsidR="00B20984" w:rsidRPr="00BA50A7" w:rsidRDefault="00590A97" w:rsidP="00B20984">
      <w:pPr>
        <w:ind w:left="360"/>
      </w:pPr>
      <w:r w:rsidRPr="00BA50A7">
        <w:t>The approval date is the date the Full Committee approves the changes.</w:t>
      </w:r>
      <w:r w:rsidR="009D4B8E" w:rsidRPr="00BA50A7">
        <w:t xml:space="preserve"> </w:t>
      </w:r>
      <w:r w:rsidRPr="00BA50A7">
        <w:t xml:space="preserve">If the IBC uses </w:t>
      </w:r>
      <w:r w:rsidR="00B20984" w:rsidRPr="00BA50A7">
        <w:t>a</w:t>
      </w:r>
      <w:r w:rsidRPr="00BA50A7">
        <w:t xml:space="preserve">dministrative </w:t>
      </w:r>
      <w:r w:rsidR="00B20984" w:rsidRPr="00BA50A7">
        <w:t>r</w:t>
      </w:r>
      <w:r w:rsidRPr="00BA50A7">
        <w:t xml:space="preserve">eview subsequent to </w:t>
      </w:r>
      <w:r w:rsidR="00B20984" w:rsidRPr="00BA50A7">
        <w:t>f</w:t>
      </w:r>
      <w:r w:rsidRPr="00BA50A7">
        <w:t xml:space="preserve">ull </w:t>
      </w:r>
      <w:r w:rsidR="00B20984" w:rsidRPr="00BA50A7">
        <w:t>c</w:t>
      </w:r>
      <w:r w:rsidRPr="00BA50A7">
        <w:t xml:space="preserve">ommittee </w:t>
      </w:r>
      <w:r w:rsidR="00B20984" w:rsidRPr="00BA50A7">
        <w:t>r</w:t>
      </w:r>
      <w:r w:rsidRPr="00BA50A7">
        <w:t>eview, the approval date is the date that the full committee approved the study pending the minor points of order/clarification.</w:t>
      </w:r>
    </w:p>
    <w:p w14:paraId="1F0A7353" w14:textId="50242C7D" w:rsidR="00590A97" w:rsidRPr="00BA50A7" w:rsidRDefault="00590A97" w:rsidP="00B20984">
      <w:pPr>
        <w:ind w:left="360"/>
      </w:pPr>
      <w:r w:rsidRPr="00BA50A7">
        <w:t>Any member of the IBC may, at any time, request to see the revised protocol and/or call for Full Committee Review.</w:t>
      </w:r>
    </w:p>
    <w:p w14:paraId="403A63E0" w14:textId="1B165002" w:rsidR="00FB201D" w:rsidRPr="00BA50A7" w:rsidRDefault="00FB201D">
      <w:pPr>
        <w:spacing w:after="0" w:line="240" w:lineRule="auto"/>
      </w:pPr>
      <w:r w:rsidRPr="00BA50A7">
        <w:br w:type="page"/>
      </w:r>
    </w:p>
    <w:p w14:paraId="6EF6FAE3" w14:textId="77777777" w:rsidR="00590A97" w:rsidRPr="00BA50A7" w:rsidRDefault="00590A97" w:rsidP="00590A97">
      <w:pPr>
        <w:spacing w:after="0" w:line="240" w:lineRule="auto"/>
        <w:textAlignment w:val="baseline"/>
        <w:rPr>
          <w:rFonts w:eastAsia="Times New Roman" w:cs="Times New Roman"/>
          <w:color w:val="444444"/>
          <w:sz w:val="2"/>
          <w:szCs w:val="24"/>
        </w:rPr>
      </w:pPr>
    </w:p>
    <w:p w14:paraId="1403B819" w14:textId="4E5DE1CF" w:rsidR="00590A97" w:rsidRPr="00BA50A7" w:rsidRDefault="00B40214" w:rsidP="00B40214">
      <w:pPr>
        <w:tabs>
          <w:tab w:val="left" w:pos="360"/>
        </w:tabs>
        <w:spacing w:after="0"/>
        <w:contextualSpacing/>
        <w:textAlignment w:val="baseline"/>
        <w:rPr>
          <w:b/>
        </w:rPr>
      </w:pPr>
      <w:r w:rsidRPr="00BA50A7">
        <w:rPr>
          <w:b/>
        </w:rPr>
        <w:t>E.</w:t>
      </w:r>
      <w:r w:rsidRPr="00BA50A7">
        <w:rPr>
          <w:b/>
        </w:rPr>
        <w:tab/>
      </w:r>
      <w:r w:rsidR="00590A97" w:rsidRPr="00BA50A7">
        <w:rPr>
          <w:b/>
        </w:rPr>
        <w:t xml:space="preserve">Modifications to </w:t>
      </w:r>
      <w:r w:rsidR="003920B0" w:rsidRPr="00BA50A7">
        <w:rPr>
          <w:b/>
        </w:rPr>
        <w:t xml:space="preserve">an </w:t>
      </w:r>
      <w:r w:rsidR="00590A97" w:rsidRPr="00BA50A7">
        <w:rPr>
          <w:b/>
        </w:rPr>
        <w:t>Approved IBC Protocol</w:t>
      </w:r>
    </w:p>
    <w:p w14:paraId="360EF757" w14:textId="77777777" w:rsidR="00B40214" w:rsidRPr="00BA50A7" w:rsidRDefault="00B40214" w:rsidP="00B40214">
      <w:pPr>
        <w:tabs>
          <w:tab w:val="left" w:pos="360"/>
        </w:tabs>
        <w:spacing w:after="0"/>
        <w:contextualSpacing/>
        <w:textAlignment w:val="baseline"/>
        <w:rPr>
          <w:b/>
        </w:rPr>
      </w:pPr>
    </w:p>
    <w:p w14:paraId="1945ABD9" w14:textId="4FEE6A83" w:rsidR="009D4B8E" w:rsidRPr="00BA50A7" w:rsidRDefault="009D4B8E" w:rsidP="00590A97">
      <w:pPr>
        <w:pStyle w:val="ListParagraph"/>
        <w:numPr>
          <w:ilvl w:val="0"/>
          <w:numId w:val="11"/>
        </w:numPr>
        <w:spacing w:before="0" w:beforeAutospacing="0" w:after="0" w:afterAutospacing="0"/>
        <w:contextualSpacing/>
        <w:textAlignment w:val="baseline"/>
      </w:pPr>
      <w:r w:rsidRPr="00BA50A7">
        <w:t>If a PI would like to report a change in laboratory personnel (excluding changes in PI), a new Personnel Training Form must be completed and submitted.</w:t>
      </w:r>
    </w:p>
    <w:p w14:paraId="6DBA64A1" w14:textId="532FD1F3" w:rsidR="00590A97" w:rsidRPr="00BA50A7" w:rsidRDefault="00590A97" w:rsidP="00590A97">
      <w:pPr>
        <w:pStyle w:val="ListParagraph"/>
        <w:numPr>
          <w:ilvl w:val="0"/>
          <w:numId w:val="11"/>
        </w:numPr>
        <w:spacing w:before="0" w:beforeAutospacing="0" w:after="0" w:afterAutospacing="0"/>
        <w:contextualSpacing/>
        <w:textAlignment w:val="baseline"/>
      </w:pPr>
      <w:r w:rsidRPr="00BA50A7">
        <w:t xml:space="preserve">If a PI would like to amend their active protocol, they must submit revised </w:t>
      </w:r>
      <w:r w:rsidR="009D4B8E" w:rsidRPr="00BA50A7">
        <w:t>BPA</w:t>
      </w:r>
      <w:r w:rsidRPr="00BA50A7">
        <w:t xml:space="preserve"> to </w:t>
      </w:r>
      <w:hyperlink r:id="rId10" w:history="1">
        <w:r w:rsidRPr="00BA50A7">
          <w:rPr>
            <w:rStyle w:val="Hyperlink"/>
            <w:bdr w:val="none" w:sz="0" w:space="0" w:color="auto" w:frame="1"/>
          </w:rPr>
          <w:t>biosafety@uwsp.edu</w:t>
        </w:r>
      </w:hyperlink>
      <w:r w:rsidRPr="00BA50A7">
        <w:t>.</w:t>
      </w:r>
      <w:r w:rsidR="009D4B8E" w:rsidRPr="00BA50A7">
        <w:t xml:space="preserve"> </w:t>
      </w:r>
      <w:r w:rsidRPr="00BA50A7">
        <w:t xml:space="preserve">The </w:t>
      </w:r>
      <w:r w:rsidR="009D4B8E" w:rsidRPr="00BA50A7">
        <w:t xml:space="preserve">“Modification Form” </w:t>
      </w:r>
      <w:r w:rsidRPr="00BA50A7">
        <w:t>box should be selected on the coversheet.</w:t>
      </w:r>
      <w:r w:rsidR="009D4B8E" w:rsidRPr="00BA50A7">
        <w:t xml:space="preserve"> </w:t>
      </w:r>
    </w:p>
    <w:p w14:paraId="598D9C40" w14:textId="57BC2B05" w:rsidR="00590A97" w:rsidRPr="00BA50A7" w:rsidRDefault="00590A97" w:rsidP="00590A97">
      <w:pPr>
        <w:pStyle w:val="ListParagraph"/>
        <w:numPr>
          <w:ilvl w:val="0"/>
          <w:numId w:val="11"/>
        </w:numPr>
        <w:spacing w:before="0" w:beforeAutospacing="0" w:after="0" w:afterAutospacing="0"/>
        <w:contextualSpacing/>
        <w:textAlignment w:val="baseline"/>
      </w:pPr>
      <w:r w:rsidRPr="00BA50A7">
        <w:t xml:space="preserve">Depending on the type of modification requested, the modification may be reviewed through </w:t>
      </w:r>
      <w:r w:rsidR="00B20984" w:rsidRPr="00BA50A7">
        <w:t>a</w:t>
      </w:r>
      <w:r w:rsidRPr="00BA50A7">
        <w:t xml:space="preserve">dministrative </w:t>
      </w:r>
      <w:r w:rsidR="00B20984" w:rsidRPr="00BA50A7">
        <w:t>r</w:t>
      </w:r>
      <w:r w:rsidRPr="00BA50A7">
        <w:t xml:space="preserve">eview, </w:t>
      </w:r>
      <w:r w:rsidR="00B20984" w:rsidRPr="00BA50A7">
        <w:t>d</w:t>
      </w:r>
      <w:r w:rsidRPr="00BA50A7">
        <w:t xml:space="preserve">esignated </w:t>
      </w:r>
      <w:r w:rsidR="00B20984" w:rsidRPr="00BA50A7">
        <w:t>m</w:t>
      </w:r>
      <w:r w:rsidRPr="00BA50A7">
        <w:t xml:space="preserve">ember </w:t>
      </w:r>
      <w:r w:rsidR="00B20984" w:rsidRPr="00BA50A7">
        <w:t>r</w:t>
      </w:r>
      <w:r w:rsidRPr="00BA50A7">
        <w:t xml:space="preserve">eview, or </w:t>
      </w:r>
      <w:r w:rsidR="00B20984" w:rsidRPr="00BA50A7">
        <w:t>full</w:t>
      </w:r>
      <w:r w:rsidRPr="00BA50A7">
        <w:t xml:space="preserve"> IBC </w:t>
      </w:r>
      <w:r w:rsidR="00B20984" w:rsidRPr="00BA50A7">
        <w:t>r</w:t>
      </w:r>
      <w:r w:rsidRPr="00BA50A7">
        <w:t>eview.</w:t>
      </w:r>
      <w:r w:rsidR="009D4B8E" w:rsidRPr="00BA50A7">
        <w:t xml:space="preserve"> </w:t>
      </w:r>
    </w:p>
    <w:p w14:paraId="28B02EB3" w14:textId="583ACBD7" w:rsidR="00590A97" w:rsidRPr="00BA50A7" w:rsidRDefault="00590A97" w:rsidP="00590A97">
      <w:pPr>
        <w:pStyle w:val="ListParagraph"/>
        <w:numPr>
          <w:ilvl w:val="4"/>
          <w:numId w:val="9"/>
        </w:numPr>
        <w:spacing w:before="0" w:beforeAutospacing="0" w:after="0" w:afterAutospacing="0"/>
        <w:contextualSpacing/>
        <w:textAlignment w:val="baseline"/>
      </w:pPr>
      <w:r w:rsidRPr="00BA50A7">
        <w:t>Modifications allowable under administrative review must have no impact on biosafety.</w:t>
      </w:r>
      <w:r w:rsidR="009D4B8E" w:rsidRPr="00BA50A7">
        <w:t xml:space="preserve"> </w:t>
      </w:r>
      <w:r w:rsidRPr="00BA50A7">
        <w:t>Administrative changes may include typographical or grammatical errors, funding source information, linking IRB or IACUC protocols, contact information, or verification of biosafety cabinet certification, etc.</w:t>
      </w:r>
    </w:p>
    <w:p w14:paraId="09FC4EA4" w14:textId="4DEAE7EA" w:rsidR="00590A97" w:rsidRPr="00BA50A7" w:rsidRDefault="00590A97" w:rsidP="00590A97">
      <w:pPr>
        <w:pStyle w:val="ListParagraph"/>
        <w:numPr>
          <w:ilvl w:val="1"/>
          <w:numId w:val="9"/>
        </w:numPr>
        <w:spacing w:before="0" w:beforeAutospacing="0" w:after="160" w:afterAutospacing="0" w:line="259" w:lineRule="auto"/>
        <w:contextualSpacing/>
      </w:pPr>
      <w:r w:rsidRPr="00BA50A7">
        <w:t>The IBC Chair, an IBC member delegated by the chair (designated reviewer) may review modifications to protocol that they determine are minor in nature.</w:t>
      </w:r>
      <w:r w:rsidR="009D4B8E" w:rsidRPr="00BA50A7">
        <w:t xml:space="preserve"> </w:t>
      </w:r>
      <w:r w:rsidRPr="00BA50A7">
        <w:t xml:space="preserve">For example, a change in room where the work is conducted. </w:t>
      </w:r>
    </w:p>
    <w:p w14:paraId="2F61933D" w14:textId="77777777" w:rsidR="00590A97" w:rsidRPr="00BA50A7" w:rsidRDefault="00590A97" w:rsidP="00590A97">
      <w:pPr>
        <w:pStyle w:val="ListParagraph"/>
        <w:numPr>
          <w:ilvl w:val="1"/>
          <w:numId w:val="9"/>
        </w:numPr>
        <w:spacing w:before="0" w:beforeAutospacing="0" w:after="160" w:afterAutospacing="0" w:line="259" w:lineRule="auto"/>
        <w:contextualSpacing/>
      </w:pPr>
      <w:r w:rsidRPr="00BA50A7">
        <w:t>Significant changes to protocols that may have an impact on biosafety, must be reviewed by the Full Committee.</w:t>
      </w:r>
    </w:p>
    <w:p w14:paraId="3417CAAE" w14:textId="063C68BB" w:rsidR="00B40214" w:rsidRPr="00BA50A7" w:rsidRDefault="00590A97" w:rsidP="00B40214">
      <w:pPr>
        <w:spacing w:after="0" w:line="240" w:lineRule="auto"/>
        <w:ind w:left="720" w:hanging="360"/>
        <w:textAlignment w:val="baseline"/>
        <w:rPr>
          <w:rFonts w:eastAsia="Times New Roman" w:cs="Times New Roman"/>
          <w:szCs w:val="24"/>
        </w:rPr>
      </w:pPr>
      <w:r w:rsidRPr="00BA50A7">
        <w:rPr>
          <w:rFonts w:eastAsia="Times New Roman" w:cs="Times New Roman"/>
          <w:szCs w:val="24"/>
        </w:rPr>
        <w:t>3.</w:t>
      </w:r>
      <w:r w:rsidR="009D4B8E" w:rsidRPr="00BA50A7">
        <w:rPr>
          <w:rFonts w:eastAsia="Times New Roman" w:cs="Times New Roman"/>
          <w:szCs w:val="24"/>
        </w:rPr>
        <w:t xml:space="preserve"> </w:t>
      </w:r>
      <w:r w:rsidRPr="00BA50A7">
        <w:rPr>
          <w:rFonts w:eastAsia="Times New Roman" w:cs="Times New Roman"/>
          <w:szCs w:val="24"/>
        </w:rPr>
        <w:t>The PI will be notified in writing by IBC Administration of the determination made by the IBC.</w:t>
      </w:r>
      <w:r w:rsidR="009D4B8E" w:rsidRPr="00BA50A7">
        <w:rPr>
          <w:rFonts w:eastAsia="Times New Roman" w:cs="Times New Roman"/>
          <w:szCs w:val="24"/>
        </w:rPr>
        <w:t xml:space="preserve"> </w:t>
      </w:r>
      <w:r w:rsidRPr="00BA50A7">
        <w:rPr>
          <w:rFonts w:eastAsia="Times New Roman" w:cs="Times New Roman"/>
          <w:szCs w:val="24"/>
        </w:rPr>
        <w:t>Changes may not be implemented until a modification request has been approved by the IBC.</w:t>
      </w:r>
    </w:p>
    <w:p w14:paraId="04F3DDCF" w14:textId="77777777" w:rsidR="00B40214" w:rsidRPr="00BA50A7" w:rsidRDefault="00B40214" w:rsidP="00B40214">
      <w:pPr>
        <w:spacing w:after="0" w:line="240" w:lineRule="auto"/>
        <w:ind w:left="720" w:hanging="360"/>
        <w:textAlignment w:val="baseline"/>
        <w:rPr>
          <w:rFonts w:eastAsia="Times New Roman" w:cs="Times New Roman"/>
          <w:szCs w:val="24"/>
        </w:rPr>
      </w:pPr>
    </w:p>
    <w:p w14:paraId="3FCB33AF" w14:textId="3974C324" w:rsidR="00590A97" w:rsidRPr="00BA50A7" w:rsidRDefault="00B40214" w:rsidP="001B3B6F">
      <w:pPr>
        <w:tabs>
          <w:tab w:val="left" w:pos="360"/>
        </w:tabs>
        <w:spacing w:after="0" w:line="240" w:lineRule="auto"/>
        <w:textAlignment w:val="baseline"/>
        <w:rPr>
          <w:rFonts w:eastAsia="Times New Roman" w:cs="Times New Roman"/>
          <w:szCs w:val="24"/>
        </w:rPr>
      </w:pPr>
      <w:r w:rsidRPr="00BA50A7">
        <w:rPr>
          <w:b/>
        </w:rPr>
        <w:t>F.</w:t>
      </w:r>
      <w:r w:rsidR="001B3B6F">
        <w:rPr>
          <w:b/>
        </w:rPr>
        <w:tab/>
      </w:r>
      <w:r w:rsidR="00590A97" w:rsidRPr="00BA50A7">
        <w:rPr>
          <w:b/>
        </w:rPr>
        <w:t>IBC Protocol Renewal Process</w:t>
      </w:r>
    </w:p>
    <w:p w14:paraId="114AA9AC" w14:textId="77777777" w:rsidR="00B40214" w:rsidRPr="00BA50A7" w:rsidRDefault="00B40214" w:rsidP="00B40214">
      <w:pPr>
        <w:tabs>
          <w:tab w:val="left" w:pos="360"/>
        </w:tabs>
        <w:contextualSpacing/>
        <w:textAlignment w:val="baseline"/>
        <w:rPr>
          <w:b/>
        </w:rPr>
      </w:pPr>
    </w:p>
    <w:p w14:paraId="718A90F8" w14:textId="22320E08" w:rsidR="00590A97" w:rsidRPr="00BA50A7" w:rsidRDefault="00590A97" w:rsidP="00B40214">
      <w:pPr>
        <w:spacing w:after="0" w:line="240" w:lineRule="auto"/>
        <w:ind w:left="360"/>
        <w:textAlignment w:val="baseline"/>
        <w:rPr>
          <w:rFonts w:eastAsia="Times New Roman" w:cs="Times New Roman"/>
          <w:szCs w:val="24"/>
        </w:rPr>
      </w:pPr>
      <w:r w:rsidRPr="00BA50A7">
        <w:rPr>
          <w:rFonts w:eastAsia="Times New Roman" w:cs="Times New Roman"/>
          <w:szCs w:val="24"/>
        </w:rPr>
        <w:t xml:space="preserve">Principal Investigators will be notified approximately 60 and 30 days prior to their protocol expiration date. At this time, the PI must decide whether they wish to request an IBC renewal or to close the project. Principal Investigators who plan to renew their project must review and update their protocol and re-submit </w:t>
      </w:r>
      <w:r w:rsidR="009D4B8E" w:rsidRPr="00BA50A7">
        <w:rPr>
          <w:rFonts w:eastAsia="Times New Roman" w:cs="Times New Roman"/>
          <w:szCs w:val="24"/>
        </w:rPr>
        <w:t>a</w:t>
      </w:r>
      <w:r w:rsidRPr="00BA50A7">
        <w:rPr>
          <w:rFonts w:eastAsia="Times New Roman" w:cs="Times New Roman"/>
          <w:szCs w:val="24"/>
        </w:rPr>
        <w:t xml:space="preserve"> </w:t>
      </w:r>
      <w:r w:rsidR="009D4B8E" w:rsidRPr="00BA50A7">
        <w:rPr>
          <w:rFonts w:eastAsia="Times New Roman" w:cs="Times New Roman"/>
          <w:szCs w:val="24"/>
        </w:rPr>
        <w:t>BPA f</w:t>
      </w:r>
      <w:r w:rsidRPr="00BA50A7">
        <w:rPr>
          <w:rFonts w:eastAsia="Times New Roman" w:cs="Times New Roman"/>
          <w:szCs w:val="24"/>
        </w:rPr>
        <w:t xml:space="preserve">orm selecting the 3-year renewal on the application prior to the protocol expiration date. The IBC will conduct a de novo review of the renewal </w:t>
      </w:r>
      <w:r w:rsidR="009D4B8E" w:rsidRPr="00BA50A7">
        <w:rPr>
          <w:rFonts w:eastAsia="Times New Roman" w:cs="Times New Roman"/>
          <w:szCs w:val="24"/>
        </w:rPr>
        <w:t>BPA</w:t>
      </w:r>
      <w:r w:rsidRPr="00BA50A7">
        <w:rPr>
          <w:rFonts w:eastAsia="Times New Roman" w:cs="Times New Roman"/>
          <w:szCs w:val="24"/>
        </w:rPr>
        <w:t xml:space="preserve"> following the review procedures described in Part B.</w:t>
      </w:r>
      <w:r w:rsidR="009D4B8E" w:rsidRPr="00BA50A7">
        <w:rPr>
          <w:rFonts w:eastAsia="Times New Roman" w:cs="Times New Roman"/>
          <w:szCs w:val="24"/>
        </w:rPr>
        <w:t xml:space="preserve"> </w:t>
      </w:r>
      <w:r w:rsidRPr="00BA50A7">
        <w:rPr>
          <w:rFonts w:eastAsia="Times New Roman" w:cs="Times New Roman"/>
          <w:szCs w:val="24"/>
        </w:rPr>
        <w:t>The PI will be notified in writing of the determination made by the IBC.</w:t>
      </w:r>
    </w:p>
    <w:p w14:paraId="6BE87679" w14:textId="77777777" w:rsidR="00590A97" w:rsidRPr="00BA50A7" w:rsidRDefault="00590A97" w:rsidP="00590A97">
      <w:pPr>
        <w:spacing w:after="0" w:line="240" w:lineRule="auto"/>
        <w:textAlignment w:val="baseline"/>
        <w:rPr>
          <w:rFonts w:eastAsia="Times New Roman" w:cs="Times New Roman"/>
          <w:color w:val="444444"/>
          <w:szCs w:val="24"/>
        </w:rPr>
      </w:pPr>
    </w:p>
    <w:p w14:paraId="53740F5E" w14:textId="40257F4E" w:rsidR="00B40214" w:rsidRPr="00BA50A7" w:rsidRDefault="00B40214" w:rsidP="00B40214">
      <w:pPr>
        <w:tabs>
          <w:tab w:val="left" w:pos="360"/>
        </w:tabs>
        <w:spacing w:after="0"/>
        <w:contextualSpacing/>
        <w:textAlignment w:val="baseline"/>
        <w:rPr>
          <w:b/>
        </w:rPr>
      </w:pPr>
      <w:r w:rsidRPr="00BA50A7">
        <w:rPr>
          <w:b/>
        </w:rPr>
        <w:t>G.</w:t>
      </w:r>
      <w:r w:rsidRPr="00BA50A7">
        <w:rPr>
          <w:b/>
        </w:rPr>
        <w:tab/>
      </w:r>
      <w:r w:rsidR="00590A97" w:rsidRPr="00BA50A7">
        <w:rPr>
          <w:b/>
        </w:rPr>
        <w:t>IBC Closures</w:t>
      </w:r>
      <w:r w:rsidR="009D4B8E" w:rsidRPr="00BA50A7">
        <w:rPr>
          <w:b/>
        </w:rPr>
        <w:t xml:space="preserve"> </w:t>
      </w:r>
    </w:p>
    <w:p w14:paraId="69C278CD" w14:textId="77777777" w:rsidR="00B40214" w:rsidRPr="00BA50A7" w:rsidRDefault="00B40214" w:rsidP="00B40214">
      <w:pPr>
        <w:tabs>
          <w:tab w:val="left" w:pos="360"/>
        </w:tabs>
        <w:spacing w:after="0"/>
        <w:contextualSpacing/>
        <w:textAlignment w:val="baseline"/>
        <w:rPr>
          <w:b/>
        </w:rPr>
      </w:pPr>
    </w:p>
    <w:p w14:paraId="6E103CF7" w14:textId="37F4A53E" w:rsidR="00590A97" w:rsidRPr="00B40214" w:rsidRDefault="00590A97" w:rsidP="00B40214">
      <w:pPr>
        <w:spacing w:after="0"/>
        <w:ind w:left="360"/>
        <w:contextualSpacing/>
        <w:textAlignment w:val="baseline"/>
        <w:rPr>
          <w:rFonts w:eastAsia="Times New Roman" w:cs="Times New Roman"/>
          <w:b/>
          <w:szCs w:val="24"/>
        </w:rPr>
      </w:pPr>
      <w:r w:rsidRPr="00BA50A7">
        <w:rPr>
          <w:rFonts w:eastAsia="Times New Roman" w:cs="Times New Roman"/>
          <w:szCs w:val="24"/>
        </w:rPr>
        <w:t xml:space="preserve">If a PI wishes to close their protocol, they may submit a </w:t>
      </w:r>
      <w:r w:rsidR="009D4B8E" w:rsidRPr="00BA50A7">
        <w:rPr>
          <w:rFonts w:eastAsia="Times New Roman" w:cs="Times New Roman"/>
          <w:szCs w:val="24"/>
        </w:rPr>
        <w:t>Protocol Closure Form</w:t>
      </w:r>
      <w:r w:rsidRPr="00BA50A7">
        <w:rPr>
          <w:rFonts w:eastAsia="Times New Roman" w:cs="Times New Roman"/>
          <w:color w:val="444444"/>
          <w:szCs w:val="24"/>
        </w:rPr>
        <w:t xml:space="preserve"> </w:t>
      </w:r>
      <w:r w:rsidRPr="00BA50A7">
        <w:rPr>
          <w:rFonts w:eastAsia="Times New Roman" w:cs="Times New Roman"/>
          <w:szCs w:val="24"/>
        </w:rPr>
        <w:t>to</w:t>
      </w:r>
      <w:r w:rsidRPr="00BA50A7">
        <w:rPr>
          <w:rFonts w:eastAsia="Times New Roman" w:cs="Times New Roman"/>
          <w:color w:val="444444"/>
          <w:szCs w:val="24"/>
        </w:rPr>
        <w:t> </w:t>
      </w:r>
      <w:hyperlink r:id="rId11" w:history="1">
        <w:r w:rsidRPr="00BA50A7">
          <w:rPr>
            <w:rStyle w:val="Hyperlink"/>
            <w:rFonts w:eastAsia="Times New Roman" w:cs="Times New Roman"/>
            <w:szCs w:val="24"/>
            <w:bdr w:val="none" w:sz="0" w:space="0" w:color="auto" w:frame="1"/>
          </w:rPr>
          <w:t>biosafety@uwsp.edu</w:t>
        </w:r>
      </w:hyperlink>
      <w:r w:rsidRPr="00BA50A7">
        <w:rPr>
          <w:rFonts w:eastAsia="Times New Roman" w:cs="Times New Roman"/>
          <w:color w:val="0077AD"/>
          <w:szCs w:val="24"/>
          <w:u w:val="single"/>
          <w:bdr w:val="none" w:sz="0" w:space="0" w:color="auto" w:frame="1"/>
        </w:rPr>
        <w:t>.</w:t>
      </w:r>
      <w:r w:rsidRPr="00B40214">
        <w:rPr>
          <w:rFonts w:eastAsia="Times New Roman" w:cs="Times New Roman"/>
          <w:szCs w:val="24"/>
        </w:rPr>
        <w:t xml:space="preserve"> </w:t>
      </w:r>
    </w:p>
    <w:p w14:paraId="7008D808" w14:textId="77777777" w:rsidR="00FE6798" w:rsidRPr="00F46544" w:rsidRDefault="00074082">
      <w:pPr>
        <w:rPr>
          <w:rFonts w:ascii="Times" w:hAnsi="Times"/>
          <w:color w:val="000000" w:themeColor="text1"/>
          <w:szCs w:val="24"/>
        </w:rPr>
      </w:pPr>
    </w:p>
    <w:sectPr w:rsidR="00FE6798" w:rsidRPr="00F46544" w:rsidSect="00985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C28BC"/>
    <w:multiLevelType w:val="multilevel"/>
    <w:tmpl w:val="C48CEA8C"/>
    <w:lvl w:ilvl="0">
      <w:start w:val="1"/>
      <w:numFmt w:val="decimal"/>
      <w:lvlText w:val="%1."/>
      <w:lvlJc w:val="left"/>
      <w:pPr>
        <w:tabs>
          <w:tab w:val="num" w:pos="990"/>
        </w:tabs>
        <w:ind w:left="990" w:hanging="360"/>
      </w:pPr>
    </w:lvl>
    <w:lvl w:ilvl="1">
      <w:start w:val="1"/>
      <w:numFmt w:val="bullet"/>
      <w:lvlText w:val=""/>
      <w:lvlJc w:val="left"/>
      <w:pPr>
        <w:tabs>
          <w:tab w:val="num" w:pos="1710"/>
        </w:tabs>
        <w:ind w:left="1710" w:hanging="360"/>
      </w:pPr>
      <w:rPr>
        <w:rFonts w:ascii="Symbol" w:hAnsi="Symbol" w:hint="default"/>
        <w:sz w:val="20"/>
      </w:r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1" w15:restartNumberingAfterBreak="0">
    <w:nsid w:val="01A968EE"/>
    <w:multiLevelType w:val="hybridMultilevel"/>
    <w:tmpl w:val="5B8A47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2226F6F"/>
    <w:multiLevelType w:val="hybridMultilevel"/>
    <w:tmpl w:val="44B64B3A"/>
    <w:lvl w:ilvl="0" w:tplc="07BE6746">
      <w:start w:val="2"/>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153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76DD2"/>
    <w:multiLevelType w:val="hybridMultilevel"/>
    <w:tmpl w:val="D1762F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2B56D98"/>
    <w:multiLevelType w:val="hybridMultilevel"/>
    <w:tmpl w:val="7B562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760B8"/>
    <w:multiLevelType w:val="hybridMultilevel"/>
    <w:tmpl w:val="A0C08F92"/>
    <w:lvl w:ilvl="0" w:tplc="04090001">
      <w:start w:val="1"/>
      <w:numFmt w:val="bullet"/>
      <w:lvlText w:val=""/>
      <w:lvlJc w:val="left"/>
      <w:pPr>
        <w:ind w:left="1139" w:hanging="360"/>
      </w:pPr>
      <w:rPr>
        <w:rFonts w:ascii="Symbol" w:hAnsi="Symbol" w:hint="default"/>
      </w:rPr>
    </w:lvl>
    <w:lvl w:ilvl="1" w:tplc="04090003">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6" w15:restartNumberingAfterBreak="0">
    <w:nsid w:val="25247CCC"/>
    <w:multiLevelType w:val="hybridMultilevel"/>
    <w:tmpl w:val="F9E20CD0"/>
    <w:lvl w:ilvl="0" w:tplc="0DF48DD8">
      <w:start w:val="1"/>
      <w:numFmt w:val="decimal"/>
      <w:lvlText w:val="%1."/>
      <w:lvlJc w:val="left"/>
      <w:pPr>
        <w:ind w:left="630" w:hanging="360"/>
      </w:pPr>
      <w:rPr>
        <w:rFonts w:hint="default"/>
        <w:b w:val="0"/>
        <w:u w:val="none"/>
      </w:rPr>
    </w:lvl>
    <w:lvl w:ilvl="1" w:tplc="B9A47EF4">
      <w:start w:val="1"/>
      <w:numFmt w:val="lowerLetter"/>
      <w:lvlText w:val="%2."/>
      <w:lvlJc w:val="left"/>
      <w:pPr>
        <w:ind w:left="1260" w:hanging="360"/>
      </w:pPr>
      <w:rPr>
        <w:b w:val="0"/>
      </w:rPr>
    </w:lvl>
    <w:lvl w:ilvl="2" w:tplc="0C9C3F46">
      <w:start w:val="3"/>
      <w:numFmt w:val="upperLetter"/>
      <w:lvlText w:val="%3)"/>
      <w:lvlJc w:val="left"/>
      <w:pPr>
        <w:ind w:left="2250" w:hanging="360"/>
      </w:pPr>
      <w:rPr>
        <w:rFonts w:hint="default"/>
      </w:rPr>
    </w:lvl>
    <w:lvl w:ilvl="3" w:tplc="B988392C">
      <w:start w:val="3"/>
      <w:numFmt w:val="upperLetter"/>
      <w:lvlText w:val="%4."/>
      <w:lvlJc w:val="left"/>
      <w:pPr>
        <w:ind w:left="630" w:hanging="360"/>
      </w:pPr>
      <w:rPr>
        <w:rFonts w:hint="default"/>
      </w:rPr>
    </w:lvl>
    <w:lvl w:ilvl="4" w:tplc="C8BA43B4">
      <w:start w:val="1"/>
      <w:numFmt w:val="decimal"/>
      <w:lvlText w:val="%5)"/>
      <w:lvlJc w:val="left"/>
      <w:pPr>
        <w:ind w:left="2160" w:hanging="360"/>
      </w:pPr>
      <w:rPr>
        <w:rFonts w:hint="default"/>
      </w:r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309D2BBF"/>
    <w:multiLevelType w:val="hybridMultilevel"/>
    <w:tmpl w:val="EBFA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DB6B4F"/>
    <w:multiLevelType w:val="hybridMultilevel"/>
    <w:tmpl w:val="8B06E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434BB3"/>
    <w:multiLevelType w:val="hybridMultilevel"/>
    <w:tmpl w:val="A330DFE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50FB6DCB"/>
    <w:multiLevelType w:val="hybridMultilevel"/>
    <w:tmpl w:val="03484FBC"/>
    <w:lvl w:ilvl="0" w:tplc="643CB766">
      <w:start w:val="1"/>
      <w:numFmt w:val="lowerLetter"/>
      <w:lvlText w:val="%1."/>
      <w:lvlJc w:val="right"/>
      <w:pPr>
        <w:ind w:left="1170" w:hanging="360"/>
      </w:pPr>
      <w:rPr>
        <w:rFonts w:ascii="Times New Roman" w:eastAsiaTheme="minorHAnsi" w:hAnsi="Times New Roman" w:cstheme="minorBidi"/>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510B46CB"/>
    <w:multiLevelType w:val="hybridMultilevel"/>
    <w:tmpl w:val="22265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A9005A6"/>
    <w:multiLevelType w:val="hybridMultilevel"/>
    <w:tmpl w:val="E7984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692196"/>
    <w:multiLevelType w:val="hybridMultilevel"/>
    <w:tmpl w:val="209A23FA"/>
    <w:lvl w:ilvl="0" w:tplc="6DFCC702">
      <w:numFmt w:val="bullet"/>
      <w:lvlText w:val="·"/>
      <w:lvlJc w:val="left"/>
      <w:pPr>
        <w:ind w:left="690" w:hanging="600"/>
      </w:pPr>
      <w:rPr>
        <w:rFonts w:ascii="Times" w:eastAsia="Times New Roman" w:hAnsi="Times"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6E841884"/>
    <w:multiLevelType w:val="hybridMultilevel"/>
    <w:tmpl w:val="8F761C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3E7ADE"/>
    <w:multiLevelType w:val="hybridMultilevel"/>
    <w:tmpl w:val="BDD4189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9"/>
  </w:num>
  <w:num w:numId="3">
    <w:abstractNumId w:val="13"/>
  </w:num>
  <w:num w:numId="4">
    <w:abstractNumId w:val="12"/>
  </w:num>
  <w:num w:numId="5">
    <w:abstractNumId w:val="4"/>
  </w:num>
  <w:num w:numId="6">
    <w:abstractNumId w:val="6"/>
  </w:num>
  <w:num w:numId="7">
    <w:abstractNumId w:val="10"/>
  </w:num>
  <w:num w:numId="8">
    <w:abstractNumId w:val="15"/>
  </w:num>
  <w:num w:numId="9">
    <w:abstractNumId w:val="2"/>
  </w:num>
  <w:num w:numId="10">
    <w:abstractNumId w:val="7"/>
  </w:num>
  <w:num w:numId="11">
    <w:abstractNumId w:val="8"/>
  </w:num>
  <w:num w:numId="12">
    <w:abstractNumId w:val="14"/>
  </w:num>
  <w:num w:numId="13">
    <w:abstractNumId w:val="3"/>
  </w:num>
  <w:num w:numId="14">
    <w:abstractNumId w:val="1"/>
  </w:num>
  <w:num w:numId="15">
    <w:abstractNumId w:val="5"/>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544"/>
    <w:rsid w:val="00004DDD"/>
    <w:rsid w:val="00074082"/>
    <w:rsid w:val="0009089E"/>
    <w:rsid w:val="000C5462"/>
    <w:rsid w:val="000D2F2D"/>
    <w:rsid w:val="000E1575"/>
    <w:rsid w:val="000F32E4"/>
    <w:rsid w:val="000F57E9"/>
    <w:rsid w:val="00111FBF"/>
    <w:rsid w:val="001256C6"/>
    <w:rsid w:val="001A2174"/>
    <w:rsid w:val="001B3B6F"/>
    <w:rsid w:val="001F11B8"/>
    <w:rsid w:val="001F1247"/>
    <w:rsid w:val="002649A9"/>
    <w:rsid w:val="00286110"/>
    <w:rsid w:val="002865D2"/>
    <w:rsid w:val="002D5D11"/>
    <w:rsid w:val="002E3A54"/>
    <w:rsid w:val="002E7510"/>
    <w:rsid w:val="00383949"/>
    <w:rsid w:val="003920B0"/>
    <w:rsid w:val="003C555C"/>
    <w:rsid w:val="003F7973"/>
    <w:rsid w:val="0048489C"/>
    <w:rsid w:val="00492C5F"/>
    <w:rsid w:val="004B24AB"/>
    <w:rsid w:val="004C79B2"/>
    <w:rsid w:val="00512E0B"/>
    <w:rsid w:val="00590A97"/>
    <w:rsid w:val="00591FFB"/>
    <w:rsid w:val="00655821"/>
    <w:rsid w:val="00675131"/>
    <w:rsid w:val="00757AF1"/>
    <w:rsid w:val="007A02D6"/>
    <w:rsid w:val="007C4BC6"/>
    <w:rsid w:val="007F4BED"/>
    <w:rsid w:val="008225AE"/>
    <w:rsid w:val="008866EC"/>
    <w:rsid w:val="008A7BE0"/>
    <w:rsid w:val="009832E4"/>
    <w:rsid w:val="009851DF"/>
    <w:rsid w:val="009C6AE3"/>
    <w:rsid w:val="009D4B8E"/>
    <w:rsid w:val="00A3540C"/>
    <w:rsid w:val="00A45173"/>
    <w:rsid w:val="00A67A53"/>
    <w:rsid w:val="00A7762A"/>
    <w:rsid w:val="00AA72F4"/>
    <w:rsid w:val="00AC4513"/>
    <w:rsid w:val="00AF4EB7"/>
    <w:rsid w:val="00B20984"/>
    <w:rsid w:val="00B376EB"/>
    <w:rsid w:val="00B40214"/>
    <w:rsid w:val="00B511C7"/>
    <w:rsid w:val="00B653DE"/>
    <w:rsid w:val="00BA50A7"/>
    <w:rsid w:val="00BB2C39"/>
    <w:rsid w:val="00BF76CA"/>
    <w:rsid w:val="00C65BA7"/>
    <w:rsid w:val="00CB1636"/>
    <w:rsid w:val="00CF33B1"/>
    <w:rsid w:val="00D16085"/>
    <w:rsid w:val="00DC7271"/>
    <w:rsid w:val="00E31CA7"/>
    <w:rsid w:val="00E44A0D"/>
    <w:rsid w:val="00E57531"/>
    <w:rsid w:val="00E678B9"/>
    <w:rsid w:val="00EC12D1"/>
    <w:rsid w:val="00F023BA"/>
    <w:rsid w:val="00F46544"/>
    <w:rsid w:val="00FB201D"/>
    <w:rsid w:val="00FB3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1D1A6"/>
  <w15:docId w15:val="{BBDA017B-5528-4FCD-9114-AA504642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544"/>
    <w:pPr>
      <w:spacing w:after="160" w:line="259" w:lineRule="auto"/>
    </w:pPr>
    <w:rPr>
      <w:rFonts w:ascii="Times New Roman" w:hAnsi="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544"/>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F46544"/>
  </w:style>
  <w:style w:type="character" w:styleId="Hyperlink">
    <w:name w:val="Hyperlink"/>
    <w:basedOn w:val="DefaultParagraphFont"/>
    <w:uiPriority w:val="99"/>
    <w:unhideWhenUsed/>
    <w:rsid w:val="00F46544"/>
    <w:rPr>
      <w:color w:val="0000FF"/>
      <w:u w:val="single"/>
    </w:rPr>
  </w:style>
  <w:style w:type="paragraph" w:styleId="ListParagraph">
    <w:name w:val="List Paragraph"/>
    <w:basedOn w:val="Normal"/>
    <w:uiPriority w:val="34"/>
    <w:qFormat/>
    <w:rsid w:val="00F46544"/>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512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E0B"/>
    <w:rPr>
      <w:rFonts w:ascii="Tahoma" w:hAnsi="Tahoma" w:cs="Tahoma"/>
      <w:sz w:val="16"/>
      <w:szCs w:val="16"/>
    </w:rPr>
  </w:style>
  <w:style w:type="character" w:styleId="CommentReference">
    <w:name w:val="annotation reference"/>
    <w:basedOn w:val="DefaultParagraphFont"/>
    <w:uiPriority w:val="99"/>
    <w:semiHidden/>
    <w:unhideWhenUsed/>
    <w:rsid w:val="00FB338B"/>
    <w:rPr>
      <w:sz w:val="16"/>
      <w:szCs w:val="16"/>
    </w:rPr>
  </w:style>
  <w:style w:type="paragraph" w:styleId="CommentText">
    <w:name w:val="annotation text"/>
    <w:basedOn w:val="Normal"/>
    <w:link w:val="CommentTextChar"/>
    <w:uiPriority w:val="99"/>
    <w:semiHidden/>
    <w:unhideWhenUsed/>
    <w:rsid w:val="00FB338B"/>
    <w:pPr>
      <w:spacing w:line="240" w:lineRule="auto"/>
    </w:pPr>
    <w:rPr>
      <w:sz w:val="20"/>
      <w:szCs w:val="20"/>
    </w:rPr>
  </w:style>
  <w:style w:type="character" w:customStyle="1" w:styleId="CommentTextChar">
    <w:name w:val="Comment Text Char"/>
    <w:basedOn w:val="DefaultParagraphFont"/>
    <w:link w:val="CommentText"/>
    <w:uiPriority w:val="99"/>
    <w:semiHidden/>
    <w:rsid w:val="00FB338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B338B"/>
    <w:rPr>
      <w:b/>
      <w:bCs/>
    </w:rPr>
  </w:style>
  <w:style w:type="character" w:customStyle="1" w:styleId="CommentSubjectChar">
    <w:name w:val="Comment Subject Char"/>
    <w:basedOn w:val="CommentTextChar"/>
    <w:link w:val="CommentSubject"/>
    <w:uiPriority w:val="99"/>
    <w:semiHidden/>
    <w:rsid w:val="00FB338B"/>
    <w:rPr>
      <w:rFonts w:ascii="Times New Roman" w:hAnsi="Times New Roman"/>
      <w:b/>
      <w:bCs/>
      <w:sz w:val="20"/>
      <w:szCs w:val="20"/>
    </w:rPr>
  </w:style>
  <w:style w:type="character" w:styleId="UnresolvedMention">
    <w:name w:val="Unresolved Mention"/>
    <w:basedOn w:val="DefaultParagraphFont"/>
    <w:uiPriority w:val="99"/>
    <w:semiHidden/>
    <w:unhideWhenUsed/>
    <w:rsid w:val="009D4B8E"/>
    <w:rPr>
      <w:color w:val="605E5C"/>
      <w:shd w:val="clear" w:color="auto" w:fill="E1DFDD"/>
    </w:rPr>
  </w:style>
  <w:style w:type="character" w:styleId="FollowedHyperlink">
    <w:name w:val="FollowedHyperlink"/>
    <w:basedOn w:val="DefaultParagraphFont"/>
    <w:uiPriority w:val="99"/>
    <w:semiHidden/>
    <w:unhideWhenUsed/>
    <w:rsid w:val="003C55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84153">
      <w:bodyDiv w:val="1"/>
      <w:marLeft w:val="0"/>
      <w:marRight w:val="0"/>
      <w:marTop w:val="0"/>
      <w:marBottom w:val="0"/>
      <w:divBdr>
        <w:top w:val="none" w:sz="0" w:space="0" w:color="auto"/>
        <w:left w:val="none" w:sz="0" w:space="0" w:color="auto"/>
        <w:bottom w:val="none" w:sz="0" w:space="0" w:color="auto"/>
        <w:right w:val="none" w:sz="0" w:space="0" w:color="auto"/>
      </w:divBdr>
      <w:divsChild>
        <w:div w:id="1704868471">
          <w:marLeft w:val="0"/>
          <w:marRight w:val="0"/>
          <w:marTop w:val="0"/>
          <w:marBottom w:val="0"/>
          <w:divBdr>
            <w:top w:val="none" w:sz="0" w:space="0" w:color="auto"/>
            <w:left w:val="none" w:sz="0" w:space="0" w:color="auto"/>
            <w:bottom w:val="none" w:sz="0" w:space="0" w:color="auto"/>
            <w:right w:val="none" w:sz="0" w:space="0" w:color="auto"/>
          </w:divBdr>
          <w:divsChild>
            <w:div w:id="530068369">
              <w:marLeft w:val="0"/>
              <w:marRight w:val="0"/>
              <w:marTop w:val="0"/>
              <w:marBottom w:val="0"/>
              <w:divBdr>
                <w:top w:val="none" w:sz="0" w:space="0" w:color="auto"/>
                <w:left w:val="none" w:sz="0" w:space="0" w:color="auto"/>
                <w:bottom w:val="none" w:sz="0" w:space="0" w:color="auto"/>
                <w:right w:val="none" w:sz="0" w:space="0" w:color="auto"/>
              </w:divBdr>
              <w:divsChild>
                <w:div w:id="11295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08789">
      <w:bodyDiv w:val="1"/>
      <w:marLeft w:val="0"/>
      <w:marRight w:val="0"/>
      <w:marTop w:val="0"/>
      <w:marBottom w:val="0"/>
      <w:divBdr>
        <w:top w:val="none" w:sz="0" w:space="0" w:color="auto"/>
        <w:left w:val="none" w:sz="0" w:space="0" w:color="auto"/>
        <w:bottom w:val="none" w:sz="0" w:space="0" w:color="auto"/>
        <w:right w:val="none" w:sz="0" w:space="0" w:color="auto"/>
      </w:divBdr>
    </w:div>
    <w:div w:id="728504034">
      <w:bodyDiv w:val="1"/>
      <w:marLeft w:val="0"/>
      <w:marRight w:val="0"/>
      <w:marTop w:val="0"/>
      <w:marBottom w:val="0"/>
      <w:divBdr>
        <w:top w:val="none" w:sz="0" w:space="0" w:color="auto"/>
        <w:left w:val="none" w:sz="0" w:space="0" w:color="auto"/>
        <w:bottom w:val="none" w:sz="0" w:space="0" w:color="auto"/>
        <w:right w:val="none" w:sz="0" w:space="0" w:color="auto"/>
      </w:divBdr>
      <w:divsChild>
        <w:div w:id="1658414091">
          <w:marLeft w:val="0"/>
          <w:marRight w:val="0"/>
          <w:marTop w:val="0"/>
          <w:marBottom w:val="0"/>
          <w:divBdr>
            <w:top w:val="none" w:sz="0" w:space="0" w:color="auto"/>
            <w:left w:val="none" w:sz="0" w:space="0" w:color="auto"/>
            <w:bottom w:val="none" w:sz="0" w:space="0" w:color="auto"/>
            <w:right w:val="none" w:sz="0" w:space="0" w:color="auto"/>
          </w:divBdr>
          <w:divsChild>
            <w:div w:id="1288196267">
              <w:marLeft w:val="0"/>
              <w:marRight w:val="0"/>
              <w:marTop w:val="0"/>
              <w:marBottom w:val="0"/>
              <w:divBdr>
                <w:top w:val="none" w:sz="0" w:space="0" w:color="auto"/>
                <w:left w:val="none" w:sz="0" w:space="0" w:color="auto"/>
                <w:bottom w:val="none" w:sz="0" w:space="0" w:color="auto"/>
                <w:right w:val="none" w:sz="0" w:space="0" w:color="auto"/>
              </w:divBdr>
              <w:divsChild>
                <w:div w:id="13401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764855">
      <w:bodyDiv w:val="1"/>
      <w:marLeft w:val="0"/>
      <w:marRight w:val="0"/>
      <w:marTop w:val="0"/>
      <w:marBottom w:val="0"/>
      <w:divBdr>
        <w:top w:val="none" w:sz="0" w:space="0" w:color="auto"/>
        <w:left w:val="none" w:sz="0" w:space="0" w:color="auto"/>
        <w:bottom w:val="none" w:sz="0" w:space="0" w:color="auto"/>
        <w:right w:val="none" w:sz="0" w:space="0" w:color="auto"/>
      </w:divBdr>
      <w:divsChild>
        <w:div w:id="1631670996">
          <w:marLeft w:val="0"/>
          <w:marRight w:val="0"/>
          <w:marTop w:val="0"/>
          <w:marBottom w:val="0"/>
          <w:divBdr>
            <w:top w:val="none" w:sz="0" w:space="0" w:color="auto"/>
            <w:left w:val="none" w:sz="0" w:space="0" w:color="auto"/>
            <w:bottom w:val="none" w:sz="0" w:space="0" w:color="auto"/>
            <w:right w:val="none" w:sz="0" w:space="0" w:color="auto"/>
          </w:divBdr>
          <w:divsChild>
            <w:div w:id="90055718">
              <w:marLeft w:val="0"/>
              <w:marRight w:val="0"/>
              <w:marTop w:val="0"/>
              <w:marBottom w:val="0"/>
              <w:divBdr>
                <w:top w:val="none" w:sz="0" w:space="0" w:color="auto"/>
                <w:left w:val="none" w:sz="0" w:space="0" w:color="auto"/>
                <w:bottom w:val="none" w:sz="0" w:space="0" w:color="auto"/>
                <w:right w:val="none" w:sz="0" w:space="0" w:color="auto"/>
              </w:divBdr>
              <w:divsChild>
                <w:div w:id="200940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434183">
      <w:bodyDiv w:val="1"/>
      <w:marLeft w:val="0"/>
      <w:marRight w:val="0"/>
      <w:marTop w:val="0"/>
      <w:marBottom w:val="0"/>
      <w:divBdr>
        <w:top w:val="none" w:sz="0" w:space="0" w:color="auto"/>
        <w:left w:val="none" w:sz="0" w:space="0" w:color="auto"/>
        <w:bottom w:val="none" w:sz="0" w:space="0" w:color="auto"/>
        <w:right w:val="none" w:sz="0" w:space="0" w:color="auto"/>
      </w:divBdr>
      <w:divsChild>
        <w:div w:id="1122456173">
          <w:marLeft w:val="0"/>
          <w:marRight w:val="0"/>
          <w:marTop w:val="0"/>
          <w:marBottom w:val="0"/>
          <w:divBdr>
            <w:top w:val="none" w:sz="0" w:space="0" w:color="auto"/>
            <w:left w:val="none" w:sz="0" w:space="0" w:color="auto"/>
            <w:bottom w:val="none" w:sz="0" w:space="0" w:color="auto"/>
            <w:right w:val="none" w:sz="0" w:space="0" w:color="auto"/>
          </w:divBdr>
          <w:divsChild>
            <w:div w:id="1880582280">
              <w:marLeft w:val="0"/>
              <w:marRight w:val="0"/>
              <w:marTop w:val="0"/>
              <w:marBottom w:val="0"/>
              <w:divBdr>
                <w:top w:val="none" w:sz="0" w:space="0" w:color="auto"/>
                <w:left w:val="none" w:sz="0" w:space="0" w:color="auto"/>
                <w:bottom w:val="none" w:sz="0" w:space="0" w:color="auto"/>
                <w:right w:val="none" w:sz="0" w:space="0" w:color="auto"/>
              </w:divBdr>
              <w:divsChild>
                <w:div w:id="20401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1629">
      <w:bodyDiv w:val="1"/>
      <w:marLeft w:val="0"/>
      <w:marRight w:val="0"/>
      <w:marTop w:val="0"/>
      <w:marBottom w:val="0"/>
      <w:divBdr>
        <w:top w:val="none" w:sz="0" w:space="0" w:color="auto"/>
        <w:left w:val="none" w:sz="0" w:space="0" w:color="auto"/>
        <w:bottom w:val="none" w:sz="0" w:space="0" w:color="auto"/>
        <w:right w:val="none" w:sz="0" w:space="0" w:color="auto"/>
      </w:divBdr>
    </w:div>
    <w:div w:id="1327973221">
      <w:bodyDiv w:val="1"/>
      <w:marLeft w:val="0"/>
      <w:marRight w:val="0"/>
      <w:marTop w:val="0"/>
      <w:marBottom w:val="0"/>
      <w:divBdr>
        <w:top w:val="none" w:sz="0" w:space="0" w:color="auto"/>
        <w:left w:val="none" w:sz="0" w:space="0" w:color="auto"/>
        <w:bottom w:val="none" w:sz="0" w:space="0" w:color="auto"/>
        <w:right w:val="none" w:sz="0" w:space="0" w:color="auto"/>
      </w:divBdr>
      <w:divsChild>
        <w:div w:id="1676762140">
          <w:marLeft w:val="0"/>
          <w:marRight w:val="0"/>
          <w:marTop w:val="0"/>
          <w:marBottom w:val="0"/>
          <w:divBdr>
            <w:top w:val="none" w:sz="0" w:space="0" w:color="auto"/>
            <w:left w:val="none" w:sz="0" w:space="0" w:color="auto"/>
            <w:bottom w:val="none" w:sz="0" w:space="0" w:color="auto"/>
            <w:right w:val="none" w:sz="0" w:space="0" w:color="auto"/>
          </w:divBdr>
          <w:divsChild>
            <w:div w:id="1765757743">
              <w:marLeft w:val="0"/>
              <w:marRight w:val="0"/>
              <w:marTop w:val="0"/>
              <w:marBottom w:val="0"/>
              <w:divBdr>
                <w:top w:val="none" w:sz="0" w:space="0" w:color="auto"/>
                <w:left w:val="none" w:sz="0" w:space="0" w:color="auto"/>
                <w:bottom w:val="none" w:sz="0" w:space="0" w:color="auto"/>
                <w:right w:val="none" w:sz="0" w:space="0" w:color="auto"/>
              </w:divBdr>
              <w:divsChild>
                <w:div w:id="21123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80394">
      <w:bodyDiv w:val="1"/>
      <w:marLeft w:val="0"/>
      <w:marRight w:val="0"/>
      <w:marTop w:val="0"/>
      <w:marBottom w:val="0"/>
      <w:divBdr>
        <w:top w:val="none" w:sz="0" w:space="0" w:color="auto"/>
        <w:left w:val="none" w:sz="0" w:space="0" w:color="auto"/>
        <w:bottom w:val="none" w:sz="0" w:space="0" w:color="auto"/>
        <w:right w:val="none" w:sz="0" w:space="0" w:color="auto"/>
      </w:divBdr>
      <w:divsChild>
        <w:div w:id="1022245124">
          <w:marLeft w:val="0"/>
          <w:marRight w:val="0"/>
          <w:marTop w:val="0"/>
          <w:marBottom w:val="0"/>
          <w:divBdr>
            <w:top w:val="none" w:sz="0" w:space="0" w:color="auto"/>
            <w:left w:val="none" w:sz="0" w:space="0" w:color="auto"/>
            <w:bottom w:val="none" w:sz="0" w:space="0" w:color="auto"/>
            <w:right w:val="none" w:sz="0" w:space="0" w:color="auto"/>
          </w:divBdr>
          <w:divsChild>
            <w:div w:id="1827236099">
              <w:marLeft w:val="0"/>
              <w:marRight w:val="0"/>
              <w:marTop w:val="0"/>
              <w:marBottom w:val="0"/>
              <w:divBdr>
                <w:top w:val="none" w:sz="0" w:space="0" w:color="auto"/>
                <w:left w:val="none" w:sz="0" w:space="0" w:color="auto"/>
                <w:bottom w:val="none" w:sz="0" w:space="0" w:color="auto"/>
                <w:right w:val="none" w:sz="0" w:space="0" w:color="auto"/>
              </w:divBdr>
              <w:divsChild>
                <w:div w:id="9692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39190">
      <w:bodyDiv w:val="1"/>
      <w:marLeft w:val="0"/>
      <w:marRight w:val="0"/>
      <w:marTop w:val="0"/>
      <w:marBottom w:val="0"/>
      <w:divBdr>
        <w:top w:val="none" w:sz="0" w:space="0" w:color="auto"/>
        <w:left w:val="none" w:sz="0" w:space="0" w:color="auto"/>
        <w:bottom w:val="none" w:sz="0" w:space="0" w:color="auto"/>
        <w:right w:val="none" w:sz="0" w:space="0" w:color="auto"/>
      </w:divBdr>
      <w:divsChild>
        <w:div w:id="1792940954">
          <w:marLeft w:val="0"/>
          <w:marRight w:val="0"/>
          <w:marTop w:val="0"/>
          <w:marBottom w:val="0"/>
          <w:divBdr>
            <w:top w:val="none" w:sz="0" w:space="0" w:color="auto"/>
            <w:left w:val="none" w:sz="0" w:space="0" w:color="auto"/>
            <w:bottom w:val="none" w:sz="0" w:space="0" w:color="auto"/>
            <w:right w:val="none" w:sz="0" w:space="0" w:color="auto"/>
          </w:divBdr>
          <w:divsChild>
            <w:div w:id="1919706966">
              <w:marLeft w:val="0"/>
              <w:marRight w:val="0"/>
              <w:marTop w:val="0"/>
              <w:marBottom w:val="0"/>
              <w:divBdr>
                <w:top w:val="none" w:sz="0" w:space="0" w:color="auto"/>
                <w:left w:val="none" w:sz="0" w:space="0" w:color="auto"/>
                <w:bottom w:val="none" w:sz="0" w:space="0" w:color="auto"/>
                <w:right w:val="none" w:sz="0" w:space="0" w:color="auto"/>
              </w:divBdr>
              <w:divsChild>
                <w:div w:id="9666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p.od.nih.gov/office-biotechnology-activities/biosafety/nih-guideline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iosafety@uwsp.edu" TargetMode="External"/><Relationship Id="rId5" Type="http://schemas.openxmlformats.org/officeDocument/2006/relationships/styles" Target="styles.xml"/><Relationship Id="rId10" Type="http://schemas.openxmlformats.org/officeDocument/2006/relationships/hyperlink" Target="mailto:biosafety@uwsp.edu" TargetMode="External"/><Relationship Id="rId4" Type="http://schemas.openxmlformats.org/officeDocument/2006/relationships/numbering" Target="numbering.xml"/><Relationship Id="rId9" Type="http://schemas.openxmlformats.org/officeDocument/2006/relationships/hyperlink" Target="mailto:biosafety@uwsp.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9BD3F425E7344CB8F31697D3DD7605" ma:contentTypeVersion="" ma:contentTypeDescription="Create a new document." ma:contentTypeScope="" ma:versionID="5caa926ea9d69272573ac0001231ddd1">
  <xsd:schema xmlns:xsd="http://www.w3.org/2001/XMLSchema" xmlns:xs="http://www.w3.org/2001/XMLSchema" xmlns:p="http://schemas.microsoft.com/office/2006/metadata/properties" xmlns:ns1="http://schemas.microsoft.com/sharepoint/v3" xmlns:ns2="beaf5f31-8cd1-41e4-a47a-7a8ecc96f470" targetNamespace="http://schemas.microsoft.com/office/2006/metadata/properties" ma:root="true" ma:fieldsID="b21af3bb3c8f651575448477e53d6a43" ns1:_="" ns2:_="">
    <xsd:import namespace="http://schemas.microsoft.com/sharepoint/v3"/>
    <xsd:import namespace="beaf5f31-8cd1-41e4-a47a-7a8ecc96f4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af5f31-8cd1-41e4-a47a-7a8ecc96f4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3D0FC0-F1C1-4197-A3D6-BB25F4AEFCB7}">
  <ds:schemaRefs>
    <ds:schemaRef ds:uri="http://schemas.microsoft.com/sharepoint/v3/contenttype/forms"/>
  </ds:schemaRefs>
</ds:datastoreItem>
</file>

<file path=customXml/itemProps2.xml><?xml version="1.0" encoding="utf-8"?>
<ds:datastoreItem xmlns:ds="http://schemas.openxmlformats.org/officeDocument/2006/customXml" ds:itemID="{ECEE385A-C822-4581-9BFA-9A4EE3A6C213}"/>
</file>

<file path=customXml/itemProps3.xml><?xml version="1.0" encoding="utf-8"?>
<ds:datastoreItem xmlns:ds="http://schemas.openxmlformats.org/officeDocument/2006/customXml" ds:itemID="{B95E32DF-CC75-4ED3-8B2E-434834BDB5FC}">
  <ds:schemaRefs>
    <ds:schemaRef ds:uri="http://purl.org/dc/terms/"/>
    <ds:schemaRef ds:uri="http://schemas.openxmlformats.org/package/2006/metadata/core-properties"/>
    <ds:schemaRef ds:uri="29a075e2-ccf9-47b3-9a85-2678fdefa19f"/>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2151</Words>
  <Characters>12264</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Matt</cp:lastModifiedBy>
  <cp:revision>2</cp:revision>
  <cp:lastPrinted>2019-08-21T19:58:00Z</cp:lastPrinted>
  <dcterms:created xsi:type="dcterms:W3CDTF">2020-09-18T19:59:00Z</dcterms:created>
  <dcterms:modified xsi:type="dcterms:W3CDTF">2020-09-18T19:59:00Z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0x010100939BD3F425E7344CB8F31697D3DD7605</vt:lpwstr>
  </property>
</Properties>
</file>